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D80F7" w14:textId="77777777" w:rsidR="00E04ADB" w:rsidRDefault="00FD6D54" w:rsidP="005432E0">
      <w:pPr>
        <w:widowControl w:val="0"/>
        <w:jc w:val="center"/>
        <w:rPr>
          <w:b/>
          <w:bCs/>
          <w:sz w:val="24"/>
          <w:szCs w:val="24"/>
        </w:rPr>
      </w:pPr>
      <w:r w:rsidRPr="00FD6D54">
        <w:rPr>
          <w:b/>
          <w:bCs/>
          <w:sz w:val="24"/>
          <w:szCs w:val="24"/>
        </w:rPr>
        <w:t xml:space="preserve">PROCEDURA NEGOZIATA SENZA PREVIA PUBBLICAZIONE DI UN BANDO DI GARA AI SENSI DELL’ART. </w:t>
      </w:r>
      <w:r w:rsidR="00E04ADB" w:rsidRPr="00E04ADB">
        <w:rPr>
          <w:b/>
          <w:bCs/>
          <w:sz w:val="24"/>
          <w:szCs w:val="24"/>
        </w:rPr>
        <w:t>AI SENSI DELL’ART. 187, D.LGS. 36/2023 PER LA CONCESSIONE DEL SERVIZIO DI MACELLAZIONE PRESSO L’IMPIANTO DEL DIPARTIMENTO DI SCIENZE MEDICHE VETERINARIE - DIMEVET DELL’ALMA MATER STUDIORUM- UNIVERSITÀ DI BOLOGNA. CIG: B985723CB4.</w:t>
      </w:r>
    </w:p>
    <w:p w14:paraId="1D796DAE" w14:textId="77777777" w:rsidR="00E04ADB" w:rsidRDefault="00E04ADB" w:rsidP="005432E0">
      <w:pPr>
        <w:widowControl w:val="0"/>
        <w:jc w:val="center"/>
        <w:rPr>
          <w:b/>
          <w:bCs/>
          <w:sz w:val="24"/>
          <w:szCs w:val="24"/>
        </w:rPr>
      </w:pPr>
    </w:p>
    <w:p w14:paraId="56717FE8" w14:textId="77777777" w:rsidR="005432E0" w:rsidRPr="005432E0" w:rsidRDefault="005432E0" w:rsidP="005432E0">
      <w:pPr>
        <w:widowControl w:val="0"/>
        <w:jc w:val="center"/>
        <w:rPr>
          <w:rFonts w:ascii="Times New Roman" w:hAnsi="Times New Roman"/>
          <w:b/>
        </w:rPr>
      </w:pPr>
      <w:r>
        <w:rPr>
          <w:b/>
          <w:bCs/>
          <w:sz w:val="24"/>
          <w:szCs w:val="24"/>
        </w:rPr>
        <w:t>DICHIARAZIONE EQUIVALENZA TUTELE ECONOMICHE E NORMATIVE DEL CCNL APPLICATO</w:t>
      </w:r>
    </w:p>
    <w:p w14:paraId="5B44BCFF" w14:textId="77777777" w:rsidR="005E4B9E" w:rsidRPr="00827457" w:rsidRDefault="005E4B9E" w:rsidP="00827457">
      <w:pPr>
        <w:spacing w:after="0" w:line="240" w:lineRule="auto"/>
        <w:rPr>
          <w:rFonts w:ascii="Times New Roman" w:hAnsi="Times New Roman"/>
          <w:b/>
          <w:sz w:val="24"/>
          <w:szCs w:val="24"/>
          <w:u w:val="single"/>
        </w:rPr>
      </w:pPr>
    </w:p>
    <w:p w14:paraId="77137B0B" w14:textId="77777777" w:rsidR="00635FC3" w:rsidRDefault="00635FC3" w:rsidP="00635FC3">
      <w:pPr>
        <w:jc w:val="both"/>
      </w:pPr>
      <w:r>
        <w:t xml:space="preserve">Il sottoscritto/a________________________________ nato/a </w:t>
      </w:r>
      <w:proofErr w:type="spellStart"/>
      <w:r>
        <w:t>a</w:t>
      </w:r>
      <w:proofErr w:type="spellEnd"/>
      <w:r>
        <w:t xml:space="preserve"> ____________________________ il ______________ in qualità di (carica sociale)________________________ della società _________________________________________ sede legale _____________________________________ sede operativa ____________________________________ n. telefono ________________________________________ n. fax  ________________________________________</w:t>
      </w:r>
    </w:p>
    <w:p w14:paraId="4164513A" w14:textId="77777777" w:rsidR="00635FC3" w:rsidRDefault="00635FC3" w:rsidP="00635FC3">
      <w:pPr>
        <w:jc w:val="both"/>
      </w:pPr>
      <w:r>
        <w:t>Codice Fiscale _________________________________ Partita IVA _______________________________________</w:t>
      </w:r>
    </w:p>
    <w:p w14:paraId="408CFE34" w14:textId="77777777" w:rsidR="00AE470F" w:rsidRDefault="00AE470F" w:rsidP="00635FC3">
      <w:pPr>
        <w:jc w:val="center"/>
        <w:rPr>
          <w:b/>
        </w:rPr>
      </w:pPr>
    </w:p>
    <w:p w14:paraId="7C00EC73" w14:textId="77777777" w:rsidR="00717C00" w:rsidRPr="00717C00" w:rsidRDefault="008A451A" w:rsidP="006668DF">
      <w:pPr>
        <w:jc w:val="center"/>
        <w:rPr>
          <w:b/>
        </w:rPr>
      </w:pPr>
      <w:r w:rsidRPr="00472812">
        <w:rPr>
          <w:b/>
        </w:rPr>
        <w:t>DICHIARA</w:t>
      </w:r>
      <w:r w:rsidR="006065AC">
        <w:rPr>
          <w:b/>
        </w:rPr>
        <w:t xml:space="preserve">  </w:t>
      </w:r>
    </w:p>
    <w:p w14:paraId="4A7BF6A1" w14:textId="77777777" w:rsidR="00AE470F" w:rsidRPr="00717C00" w:rsidRDefault="00F83527" w:rsidP="006668DF">
      <w:pPr>
        <w:jc w:val="both"/>
        <w:rPr>
          <w:bCs/>
        </w:rPr>
      </w:pPr>
      <w:r>
        <w:t xml:space="preserve">l’equivalenza </w:t>
      </w:r>
      <w:r w:rsidR="006065AC" w:rsidRPr="00FC385F">
        <w:t>fra il CCNL</w:t>
      </w:r>
      <w:r w:rsidR="00217956">
        <w:t xml:space="preserve"> cod.</w:t>
      </w:r>
      <w:r w:rsidR="006668DF">
        <w:t xml:space="preserve"> alfanumerico</w:t>
      </w:r>
      <w:r w:rsidR="006065AC" w:rsidRPr="00FC385F">
        <w:t xml:space="preserve"> _______________</w:t>
      </w:r>
      <w:r w:rsidR="00C30568">
        <w:t xml:space="preserve"> _______________</w:t>
      </w:r>
      <w:r w:rsidR="006065AC" w:rsidRPr="00FC385F">
        <w:t xml:space="preserve">che si intende applicare all’appalto e il CCNL </w:t>
      </w:r>
      <w:r w:rsidR="00217956">
        <w:t>cod</w:t>
      </w:r>
      <w:r w:rsidR="00217956" w:rsidRPr="00FD6D54">
        <w:rPr>
          <w:i/>
          <w:iCs/>
          <w:color w:val="00B0F0"/>
        </w:rPr>
        <w:t>.</w:t>
      </w:r>
      <w:r w:rsidR="00FD6D54" w:rsidRPr="00FD6D54">
        <w:rPr>
          <w:i/>
          <w:iCs/>
          <w:color w:val="00B0F0"/>
        </w:rPr>
        <w:t xml:space="preserve"> [inserire CCNL indicato da S.A.]</w:t>
      </w:r>
      <w:r w:rsidR="00FD6D54" w:rsidRPr="00FD6D54">
        <w:rPr>
          <w:rFonts w:ascii="Aptos" w:hAnsi="Aptos" w:cs="Aptos"/>
          <w:b/>
          <w:bCs/>
          <w:i/>
          <w:iCs/>
          <w:color w:val="00B0F0"/>
          <w:szCs w:val="24"/>
        </w:rPr>
        <w:t xml:space="preserve"> </w:t>
      </w:r>
      <w:r w:rsidR="00FD6D54">
        <w:rPr>
          <w:rFonts w:ascii="Aptos" w:hAnsi="Aptos" w:cs="Aptos"/>
          <w:b/>
          <w:bCs/>
          <w:iCs/>
          <w:szCs w:val="24"/>
        </w:rPr>
        <w:t>_____________</w:t>
      </w:r>
      <w:r w:rsidR="006065AC">
        <w:t>rispetto all</w:t>
      </w:r>
      <w:r w:rsidR="00717FA0">
        <w:t>a</w:t>
      </w:r>
      <w:r w:rsidR="006065AC">
        <w:t>:</w:t>
      </w:r>
    </w:p>
    <w:p w14:paraId="10B16C43" w14:textId="77777777" w:rsidR="00AE470F" w:rsidRPr="006065AC" w:rsidRDefault="00AE470F" w:rsidP="005432E0">
      <w:pPr>
        <w:jc w:val="both"/>
      </w:pPr>
    </w:p>
    <w:p w14:paraId="0192FDCA" w14:textId="77777777" w:rsidR="00395428" w:rsidRPr="00217956" w:rsidRDefault="00F83527" w:rsidP="009A6536">
      <w:pPr>
        <w:numPr>
          <w:ilvl w:val="0"/>
          <w:numId w:val="2"/>
        </w:numPr>
        <w:jc w:val="both"/>
        <w:rPr>
          <w:rFonts w:ascii="Times New Roman" w:hAnsi="Times New Roman"/>
          <w:b/>
          <w:bCs/>
          <w:i/>
          <w:iCs/>
        </w:rPr>
      </w:pPr>
      <w:r w:rsidRPr="004E0177">
        <w:rPr>
          <w:b/>
          <w:bCs/>
        </w:rPr>
        <w:t xml:space="preserve">equivalenza delle </w:t>
      </w:r>
      <w:r w:rsidR="00827457" w:rsidRPr="004E0177">
        <w:rPr>
          <w:b/>
          <w:bCs/>
        </w:rPr>
        <w:t>tutele economiche</w:t>
      </w:r>
      <w:r w:rsidR="006818A6">
        <w:rPr>
          <w:b/>
          <w:bCs/>
        </w:rPr>
        <w:t>*</w:t>
      </w:r>
      <w:r w:rsidR="00827457" w:rsidRPr="00FC385F">
        <w:t xml:space="preserve"> </w:t>
      </w:r>
    </w:p>
    <w:p w14:paraId="7F1EF1BD" w14:textId="77777777" w:rsidR="00217956" w:rsidRDefault="00217956" w:rsidP="00217956">
      <w:pPr>
        <w:ind w:left="720"/>
        <w:jc w:val="both"/>
        <w:rPr>
          <w:rFonts w:ascii="Times New Roman" w:hAnsi="Times New Roman"/>
          <w:b/>
          <w:bCs/>
        </w:rPr>
      </w:pPr>
      <w:r>
        <w:rPr>
          <w:rFonts w:ascii="Times New Roman" w:hAnsi="Times New Roman"/>
          <w:b/>
          <w:bCs/>
        </w:rPr>
        <w:t>TABELLA DI RAFFRONTO DELLE TUTELE ECONOMICHE</w:t>
      </w:r>
      <w:r w:rsidR="00846E9D">
        <w:rPr>
          <w:rFonts w:ascii="Times New Roman" w:hAnsi="Times New Roman"/>
          <w:b/>
          <w:bCs/>
        </w:rPr>
        <w:t xml:space="preserve"> (compilare la tabella per ogni profilo professionale dei dipendenti impiegati nell’appalto)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3119"/>
      </w:tblGrid>
      <w:tr w:rsidR="00C9486B" w:rsidRPr="003F248B" w14:paraId="277C9BF8" w14:textId="77777777" w:rsidTr="003F248B">
        <w:trPr>
          <w:trHeight w:val="476"/>
        </w:trPr>
        <w:tc>
          <w:tcPr>
            <w:tcW w:w="2790" w:type="dxa"/>
            <w:tcBorders>
              <w:right w:val="nil"/>
            </w:tcBorders>
          </w:tcPr>
          <w:p w14:paraId="612CEB2D" w14:textId="77777777" w:rsidR="00C9486B" w:rsidRPr="003F248B" w:rsidRDefault="00C9486B" w:rsidP="003F248B">
            <w:pPr>
              <w:jc w:val="both"/>
              <w:rPr>
                <w:rFonts w:ascii="Times New Roman" w:hAnsi="Times New Roman"/>
                <w:b/>
                <w:bCs/>
              </w:rPr>
            </w:pPr>
            <w:r w:rsidRPr="003F248B">
              <w:rPr>
                <w:rFonts w:ascii="Times New Roman" w:hAnsi="Times New Roman"/>
                <w:b/>
                <w:bCs/>
              </w:rPr>
              <w:lastRenderedPageBreak/>
              <w:t>Profilo professionale ______________________</w:t>
            </w:r>
          </w:p>
        </w:tc>
        <w:tc>
          <w:tcPr>
            <w:tcW w:w="3119" w:type="dxa"/>
            <w:tcBorders>
              <w:left w:val="nil"/>
            </w:tcBorders>
          </w:tcPr>
          <w:p w14:paraId="13470AF9" w14:textId="77777777" w:rsidR="00C9486B" w:rsidRPr="003F248B" w:rsidRDefault="00C9486B" w:rsidP="003F248B">
            <w:pPr>
              <w:jc w:val="both"/>
              <w:rPr>
                <w:rFonts w:ascii="Times New Roman" w:hAnsi="Times New Roman"/>
                <w:b/>
                <w:bCs/>
              </w:rPr>
            </w:pPr>
          </w:p>
        </w:tc>
      </w:tr>
      <w:tr w:rsidR="00C9486B" w:rsidRPr="003F248B" w14:paraId="3E96864D" w14:textId="77777777" w:rsidTr="003F248B">
        <w:tc>
          <w:tcPr>
            <w:tcW w:w="2790" w:type="dxa"/>
          </w:tcPr>
          <w:p w14:paraId="727844B2" w14:textId="77777777" w:rsidR="00C9486B" w:rsidRPr="003F248B" w:rsidRDefault="00C9486B" w:rsidP="003F248B">
            <w:pPr>
              <w:jc w:val="both"/>
              <w:rPr>
                <w:rFonts w:ascii="Times New Roman" w:hAnsi="Times New Roman"/>
                <w:b/>
                <w:bCs/>
              </w:rPr>
            </w:pPr>
            <w:r w:rsidRPr="003F248B">
              <w:rPr>
                <w:rFonts w:ascii="Times New Roman" w:hAnsi="Times New Roman"/>
                <w:b/>
                <w:bCs/>
              </w:rPr>
              <w:t>Istituto</w:t>
            </w:r>
          </w:p>
        </w:tc>
        <w:tc>
          <w:tcPr>
            <w:tcW w:w="3119" w:type="dxa"/>
          </w:tcPr>
          <w:p w14:paraId="0AF04512" w14:textId="77777777" w:rsidR="00C9486B" w:rsidRPr="003F248B" w:rsidRDefault="00C9486B" w:rsidP="003F248B">
            <w:pPr>
              <w:jc w:val="both"/>
              <w:rPr>
                <w:rFonts w:ascii="Times New Roman" w:hAnsi="Times New Roman"/>
                <w:b/>
                <w:bCs/>
              </w:rPr>
            </w:pPr>
            <w:r w:rsidRPr="003F248B">
              <w:rPr>
                <w:rFonts w:ascii="Times New Roman" w:hAnsi="Times New Roman"/>
                <w:b/>
                <w:bCs/>
              </w:rPr>
              <w:t>CCNL dell’operatore economico</w:t>
            </w:r>
          </w:p>
        </w:tc>
      </w:tr>
      <w:tr w:rsidR="00C9486B" w:rsidRPr="003F248B" w14:paraId="0534980C" w14:textId="77777777" w:rsidTr="003F248B">
        <w:tc>
          <w:tcPr>
            <w:tcW w:w="2790" w:type="dxa"/>
          </w:tcPr>
          <w:p w14:paraId="2FAB0BBE" w14:textId="77777777" w:rsidR="00C9486B" w:rsidRPr="003F248B" w:rsidRDefault="00C9486B" w:rsidP="003F248B">
            <w:pPr>
              <w:jc w:val="both"/>
              <w:rPr>
                <w:rFonts w:ascii="Times New Roman" w:hAnsi="Times New Roman"/>
              </w:rPr>
            </w:pPr>
            <w:r w:rsidRPr="003F248B">
              <w:rPr>
                <w:rFonts w:ascii="Times New Roman" w:hAnsi="Times New Roman"/>
              </w:rPr>
              <w:t>Inquadramento:</w:t>
            </w:r>
          </w:p>
        </w:tc>
        <w:tc>
          <w:tcPr>
            <w:tcW w:w="3119" w:type="dxa"/>
          </w:tcPr>
          <w:p w14:paraId="4FEE54B6" w14:textId="77777777" w:rsidR="00C9486B" w:rsidRPr="003F248B" w:rsidRDefault="00C9486B" w:rsidP="003F248B">
            <w:pPr>
              <w:jc w:val="both"/>
              <w:rPr>
                <w:rFonts w:ascii="Times New Roman" w:hAnsi="Times New Roman"/>
                <w:b/>
                <w:bCs/>
              </w:rPr>
            </w:pPr>
          </w:p>
        </w:tc>
      </w:tr>
      <w:tr w:rsidR="00C9486B" w:rsidRPr="003F248B" w14:paraId="22D50726" w14:textId="77777777" w:rsidTr="003F248B">
        <w:tc>
          <w:tcPr>
            <w:tcW w:w="2790" w:type="dxa"/>
          </w:tcPr>
          <w:p w14:paraId="4DB9B43D" w14:textId="77777777" w:rsidR="00C9486B" w:rsidRPr="003F248B" w:rsidRDefault="00C9486B" w:rsidP="003F248B">
            <w:pPr>
              <w:jc w:val="both"/>
              <w:rPr>
                <w:rFonts w:ascii="Times New Roman" w:hAnsi="Times New Roman"/>
              </w:rPr>
            </w:pPr>
            <w:r w:rsidRPr="003F248B">
              <w:rPr>
                <w:rFonts w:ascii="Times New Roman" w:hAnsi="Times New Roman"/>
              </w:rPr>
              <w:t>Retribuzione tabellare annuale</w:t>
            </w:r>
          </w:p>
        </w:tc>
        <w:tc>
          <w:tcPr>
            <w:tcW w:w="3119" w:type="dxa"/>
          </w:tcPr>
          <w:p w14:paraId="6844649F" w14:textId="77777777" w:rsidR="00C9486B" w:rsidRPr="003F248B" w:rsidRDefault="00C9486B" w:rsidP="003F248B">
            <w:pPr>
              <w:jc w:val="both"/>
              <w:rPr>
                <w:rFonts w:ascii="Times New Roman" w:hAnsi="Times New Roman"/>
              </w:rPr>
            </w:pPr>
            <w:r w:rsidRPr="003F248B">
              <w:rPr>
                <w:rFonts w:ascii="Times New Roman" w:hAnsi="Times New Roman"/>
              </w:rPr>
              <w:t>€</w:t>
            </w:r>
          </w:p>
        </w:tc>
      </w:tr>
      <w:tr w:rsidR="00C9486B" w:rsidRPr="003F248B" w14:paraId="6B93C29C" w14:textId="77777777" w:rsidTr="003F248B">
        <w:tc>
          <w:tcPr>
            <w:tcW w:w="2790" w:type="dxa"/>
          </w:tcPr>
          <w:p w14:paraId="617FF90C" w14:textId="77777777" w:rsidR="00C9486B" w:rsidRPr="003F248B" w:rsidRDefault="00C9486B" w:rsidP="003F248B">
            <w:pPr>
              <w:jc w:val="both"/>
              <w:rPr>
                <w:rFonts w:ascii="Times New Roman" w:hAnsi="Times New Roman"/>
              </w:rPr>
            </w:pPr>
            <w:r w:rsidRPr="003F248B">
              <w:rPr>
                <w:rFonts w:ascii="Times New Roman" w:hAnsi="Times New Roman"/>
              </w:rPr>
              <w:t>Indennità di contingenza</w:t>
            </w:r>
          </w:p>
        </w:tc>
        <w:tc>
          <w:tcPr>
            <w:tcW w:w="3119" w:type="dxa"/>
          </w:tcPr>
          <w:p w14:paraId="05821CB3" w14:textId="77777777" w:rsidR="00C9486B" w:rsidRPr="003F248B" w:rsidRDefault="00C9486B" w:rsidP="003F248B">
            <w:pPr>
              <w:jc w:val="both"/>
              <w:rPr>
                <w:rFonts w:ascii="Times New Roman" w:hAnsi="Times New Roman"/>
                <w:b/>
                <w:bCs/>
              </w:rPr>
            </w:pPr>
            <w:r w:rsidRPr="003F248B">
              <w:rPr>
                <w:rFonts w:ascii="Times New Roman" w:hAnsi="Times New Roman"/>
              </w:rPr>
              <w:t>€</w:t>
            </w:r>
          </w:p>
        </w:tc>
      </w:tr>
      <w:tr w:rsidR="00C9486B" w:rsidRPr="003F248B" w14:paraId="44F1BB96" w14:textId="77777777" w:rsidTr="003F248B">
        <w:tc>
          <w:tcPr>
            <w:tcW w:w="2790" w:type="dxa"/>
          </w:tcPr>
          <w:p w14:paraId="1E9DD4BC" w14:textId="77777777" w:rsidR="00C9486B" w:rsidRPr="003F248B" w:rsidRDefault="00C9486B" w:rsidP="003F248B">
            <w:pPr>
              <w:jc w:val="both"/>
              <w:rPr>
                <w:rFonts w:ascii="Times New Roman" w:hAnsi="Times New Roman"/>
              </w:rPr>
            </w:pPr>
            <w:r w:rsidRPr="003F248B">
              <w:rPr>
                <w:rFonts w:ascii="Times New Roman" w:hAnsi="Times New Roman"/>
              </w:rPr>
              <w:t>Elemento distintivo della retribuzione (EDR)</w:t>
            </w:r>
          </w:p>
        </w:tc>
        <w:tc>
          <w:tcPr>
            <w:tcW w:w="3119" w:type="dxa"/>
          </w:tcPr>
          <w:p w14:paraId="27F6DFBA" w14:textId="77777777" w:rsidR="00C9486B" w:rsidRPr="003F248B" w:rsidRDefault="00C9486B" w:rsidP="003F248B">
            <w:pPr>
              <w:jc w:val="both"/>
              <w:rPr>
                <w:rFonts w:ascii="Times New Roman" w:hAnsi="Times New Roman"/>
                <w:b/>
                <w:bCs/>
              </w:rPr>
            </w:pPr>
            <w:r w:rsidRPr="003F248B">
              <w:rPr>
                <w:rFonts w:ascii="Times New Roman" w:hAnsi="Times New Roman"/>
              </w:rPr>
              <w:t>€</w:t>
            </w:r>
          </w:p>
        </w:tc>
      </w:tr>
      <w:tr w:rsidR="00C9486B" w:rsidRPr="003F248B" w14:paraId="1C5B7F6C" w14:textId="77777777" w:rsidTr="003F248B">
        <w:tc>
          <w:tcPr>
            <w:tcW w:w="2790" w:type="dxa"/>
          </w:tcPr>
          <w:p w14:paraId="08B63B3E" w14:textId="77777777" w:rsidR="00C9486B" w:rsidRPr="003F248B" w:rsidRDefault="00C9486B" w:rsidP="003F248B">
            <w:pPr>
              <w:jc w:val="both"/>
              <w:rPr>
                <w:rFonts w:ascii="Times New Roman" w:hAnsi="Times New Roman"/>
              </w:rPr>
            </w:pPr>
            <w:r w:rsidRPr="003F248B">
              <w:rPr>
                <w:rFonts w:ascii="Times New Roman" w:hAnsi="Times New Roman"/>
              </w:rPr>
              <w:t>Eventuali mensilità aggiuntive</w:t>
            </w:r>
          </w:p>
        </w:tc>
        <w:tc>
          <w:tcPr>
            <w:tcW w:w="3119" w:type="dxa"/>
          </w:tcPr>
          <w:p w14:paraId="520B7384" w14:textId="77777777" w:rsidR="00C9486B" w:rsidRPr="003F248B" w:rsidRDefault="00C9486B" w:rsidP="003F248B">
            <w:pPr>
              <w:jc w:val="both"/>
              <w:rPr>
                <w:rFonts w:ascii="Times New Roman" w:hAnsi="Times New Roman"/>
                <w:b/>
                <w:bCs/>
              </w:rPr>
            </w:pPr>
            <w:r w:rsidRPr="003F248B">
              <w:rPr>
                <w:rFonts w:ascii="Times New Roman" w:hAnsi="Times New Roman"/>
              </w:rPr>
              <w:t>€</w:t>
            </w:r>
          </w:p>
        </w:tc>
      </w:tr>
      <w:tr w:rsidR="00C9486B" w:rsidRPr="003F248B" w14:paraId="152C7CE1" w14:textId="77777777" w:rsidTr="003F248B">
        <w:tc>
          <w:tcPr>
            <w:tcW w:w="2790" w:type="dxa"/>
          </w:tcPr>
          <w:p w14:paraId="7D341E5C" w14:textId="77777777" w:rsidR="00C9486B" w:rsidRPr="003F248B" w:rsidRDefault="00C9486B" w:rsidP="003F248B">
            <w:pPr>
              <w:jc w:val="both"/>
              <w:rPr>
                <w:rFonts w:ascii="Times New Roman" w:hAnsi="Times New Roman"/>
              </w:rPr>
            </w:pPr>
            <w:r w:rsidRPr="003F248B">
              <w:rPr>
                <w:rFonts w:ascii="Times New Roman" w:hAnsi="Times New Roman"/>
              </w:rPr>
              <w:t>Eventuali ulteriori indennità previste</w:t>
            </w:r>
          </w:p>
        </w:tc>
        <w:tc>
          <w:tcPr>
            <w:tcW w:w="3119" w:type="dxa"/>
          </w:tcPr>
          <w:p w14:paraId="537D9E3D" w14:textId="77777777" w:rsidR="00C9486B" w:rsidRPr="003F248B" w:rsidRDefault="00C9486B" w:rsidP="003F248B">
            <w:pPr>
              <w:jc w:val="both"/>
              <w:rPr>
                <w:rFonts w:ascii="Times New Roman" w:hAnsi="Times New Roman"/>
                <w:b/>
                <w:bCs/>
              </w:rPr>
            </w:pPr>
            <w:r w:rsidRPr="003F248B">
              <w:rPr>
                <w:rFonts w:ascii="Times New Roman" w:hAnsi="Times New Roman"/>
              </w:rPr>
              <w:t>€</w:t>
            </w:r>
          </w:p>
        </w:tc>
      </w:tr>
      <w:tr w:rsidR="00C9486B" w:rsidRPr="003F248B" w14:paraId="212332EC" w14:textId="77777777" w:rsidTr="003F248B">
        <w:tc>
          <w:tcPr>
            <w:tcW w:w="2790" w:type="dxa"/>
          </w:tcPr>
          <w:p w14:paraId="66BF7ABC" w14:textId="77777777" w:rsidR="00C9486B" w:rsidRPr="003F248B" w:rsidRDefault="00C9486B" w:rsidP="003F248B">
            <w:pPr>
              <w:jc w:val="both"/>
              <w:rPr>
                <w:rFonts w:ascii="Times New Roman" w:hAnsi="Times New Roman"/>
              </w:rPr>
            </w:pPr>
            <w:r w:rsidRPr="003F248B">
              <w:rPr>
                <w:rFonts w:ascii="Times New Roman" w:hAnsi="Times New Roman"/>
              </w:rPr>
              <w:t>TOTALE</w:t>
            </w:r>
          </w:p>
        </w:tc>
        <w:tc>
          <w:tcPr>
            <w:tcW w:w="3119" w:type="dxa"/>
          </w:tcPr>
          <w:p w14:paraId="5AD46493" w14:textId="77777777" w:rsidR="00C9486B" w:rsidRPr="003F248B" w:rsidRDefault="00C9486B" w:rsidP="003F248B">
            <w:pPr>
              <w:jc w:val="both"/>
              <w:rPr>
                <w:rFonts w:ascii="Times New Roman" w:hAnsi="Times New Roman"/>
                <w:b/>
                <w:bCs/>
              </w:rPr>
            </w:pPr>
            <w:r w:rsidRPr="003F248B">
              <w:rPr>
                <w:rFonts w:ascii="Times New Roman" w:hAnsi="Times New Roman"/>
              </w:rPr>
              <w:t>€</w:t>
            </w:r>
          </w:p>
        </w:tc>
      </w:tr>
    </w:tbl>
    <w:p w14:paraId="5E654134" w14:textId="77777777" w:rsidR="00217956" w:rsidRPr="00217956" w:rsidRDefault="00217956" w:rsidP="00851AD4">
      <w:pPr>
        <w:jc w:val="both"/>
        <w:rPr>
          <w:rFonts w:ascii="Times New Roman" w:hAnsi="Times New Roman"/>
          <w:b/>
          <w:bCs/>
        </w:rPr>
      </w:pPr>
    </w:p>
    <w:p w14:paraId="6D834DF1" w14:textId="77777777" w:rsidR="00AE470F" w:rsidRDefault="006818A6" w:rsidP="006818A6">
      <w:pPr>
        <w:jc w:val="both"/>
      </w:pPr>
      <w:r>
        <w:t>* Si precisa che, come previsto dall’art. 4 co. 4 dell’allegato I.01 al Codice, introdotto dal D. lgs. 209 del 31.12.2024, si ha equivalenza delle tutele economiche qualora il valore economico complessivo delle componenti fisse della retribuzione globale annua risulti almeno pari a quella del CCNL indicato dalla stazione appaltante.</w:t>
      </w:r>
    </w:p>
    <w:p w14:paraId="6151FF86" w14:textId="77777777" w:rsidR="0053585D" w:rsidRPr="00AE470F" w:rsidRDefault="0053585D" w:rsidP="006818A6">
      <w:pPr>
        <w:jc w:val="both"/>
      </w:pPr>
    </w:p>
    <w:p w14:paraId="21C4A3F4" w14:textId="77777777" w:rsidR="00F83527" w:rsidRPr="00F83527" w:rsidRDefault="006065AC" w:rsidP="00F83527">
      <w:pPr>
        <w:jc w:val="both"/>
        <w:rPr>
          <w:bCs/>
        </w:rPr>
      </w:pPr>
      <w:r w:rsidRPr="006065AC">
        <w:rPr>
          <w:bCs/>
        </w:rPr>
        <w:lastRenderedPageBreak/>
        <w:t>B)</w:t>
      </w:r>
      <w:r w:rsidR="00472812" w:rsidRPr="006065AC">
        <w:rPr>
          <w:bCs/>
        </w:rPr>
        <w:t xml:space="preserve"> </w:t>
      </w:r>
      <w:r w:rsidR="00F83527" w:rsidRPr="00F83527">
        <w:rPr>
          <w:b/>
        </w:rPr>
        <w:t xml:space="preserve">equivalenza delle </w:t>
      </w:r>
      <w:r w:rsidR="00472812" w:rsidRPr="00F83527">
        <w:rPr>
          <w:b/>
        </w:rPr>
        <w:t>tutele</w:t>
      </w:r>
      <w:r w:rsidR="00D977A4" w:rsidRPr="00F83527">
        <w:rPr>
          <w:b/>
        </w:rPr>
        <w:t xml:space="preserve"> normative</w:t>
      </w:r>
      <w:r w:rsidR="00F83527">
        <w:rPr>
          <w:bCs/>
        </w:rPr>
        <w:t xml:space="preserve"> come di seguito indicate</w:t>
      </w:r>
      <w:r w:rsidR="0053585D">
        <w:rPr>
          <w:bCs/>
        </w:rPr>
        <w:t>**</w:t>
      </w:r>
      <w:r w:rsidR="00472812" w:rsidRPr="006065AC">
        <w:rPr>
          <w:bCs/>
        </w:rPr>
        <w:t>:</w:t>
      </w:r>
    </w:p>
    <w:p w14:paraId="0FD28D2D" w14:textId="77777777" w:rsidR="00AE470F" w:rsidRPr="00202277" w:rsidRDefault="00472812" w:rsidP="00AE470F">
      <w:pPr>
        <w:jc w:val="center"/>
        <w:rPr>
          <w:b/>
          <w:i/>
          <w:sz w:val="24"/>
          <w:szCs w:val="24"/>
        </w:rPr>
      </w:pPr>
      <w:r w:rsidRPr="00DF0BC9">
        <w:rPr>
          <w:b/>
          <w:i/>
          <w:sz w:val="24"/>
          <w:szCs w:val="24"/>
        </w:rPr>
        <w:t>(barrare ove vi è equivalenza</w:t>
      </w:r>
      <w:r w:rsidR="005B18FF">
        <w:rPr>
          <w:b/>
          <w:i/>
          <w:sz w:val="24"/>
          <w:szCs w:val="24"/>
        </w:rPr>
        <w:t xml:space="preserve"> nella colonna indicata</w:t>
      </w:r>
      <w:r w:rsidR="0009494A">
        <w:rPr>
          <w:b/>
          <w:i/>
          <w:sz w:val="24"/>
          <w:szCs w:val="24"/>
        </w:rPr>
        <w:t xml:space="preserve"> e inserire articolo</w:t>
      </w:r>
      <w:r w:rsidR="00430842" w:rsidRPr="00430842">
        <w:t xml:space="preserve"> </w:t>
      </w:r>
      <w:r w:rsidR="00430842" w:rsidRPr="00430842">
        <w:rPr>
          <w:b/>
          <w:i/>
          <w:sz w:val="24"/>
          <w:szCs w:val="24"/>
        </w:rPr>
        <w:t>corrispondente</w:t>
      </w:r>
      <w:r w:rsidR="00430842">
        <w:rPr>
          <w:b/>
          <w:i/>
          <w:sz w:val="24"/>
          <w:szCs w:val="24"/>
        </w:rPr>
        <w:t xml:space="preserve"> del</w:t>
      </w:r>
      <w:r w:rsidR="0009494A">
        <w:rPr>
          <w:b/>
          <w:i/>
          <w:sz w:val="24"/>
          <w:szCs w:val="24"/>
        </w:rPr>
        <w:t xml:space="preserve"> CCNL</w:t>
      </w:r>
      <w:r w:rsidR="00430842">
        <w:rPr>
          <w:b/>
          <w:i/>
          <w:sz w:val="24"/>
          <w:szCs w:val="24"/>
        </w:rPr>
        <w:t xml:space="preserve"> applicato</w:t>
      </w:r>
      <w:r w:rsidRPr="00DF0BC9">
        <w:rPr>
          <w:b/>
          <w:i/>
          <w:sz w:val="24"/>
          <w:szCs w:val="24"/>
        </w:rPr>
        <w:t>)</w:t>
      </w:r>
    </w:p>
    <w:tbl>
      <w:tblPr>
        <w:tblW w:w="1584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276"/>
        <w:gridCol w:w="3373"/>
        <w:gridCol w:w="6550"/>
        <w:gridCol w:w="2976"/>
      </w:tblGrid>
      <w:tr w:rsidR="005B18FF" w14:paraId="4D672F76" w14:textId="77777777" w:rsidTr="00AE470F">
        <w:trPr>
          <w:trHeight w:val="1032"/>
        </w:trPr>
        <w:tc>
          <w:tcPr>
            <w:tcW w:w="1673" w:type="dxa"/>
          </w:tcPr>
          <w:p w14:paraId="1B7EC068" w14:textId="77777777" w:rsidR="005B18FF" w:rsidRPr="001A3961" w:rsidRDefault="005B18FF" w:rsidP="001A3961">
            <w:pPr>
              <w:jc w:val="center"/>
              <w:rPr>
                <w:rFonts w:ascii="Times New Roman" w:hAnsi="Times New Roman"/>
                <w:b/>
                <w:bCs/>
              </w:rPr>
            </w:pPr>
            <w:bookmarkStart w:id="0" w:name="_Hlk160014361"/>
          </w:p>
        </w:tc>
        <w:tc>
          <w:tcPr>
            <w:tcW w:w="1276" w:type="dxa"/>
          </w:tcPr>
          <w:p w14:paraId="68A80D14" w14:textId="77777777" w:rsidR="00AE470F" w:rsidRDefault="00AE470F" w:rsidP="001A3961">
            <w:pPr>
              <w:jc w:val="center"/>
              <w:rPr>
                <w:rFonts w:cs="Calibri"/>
                <w:b/>
                <w:bCs/>
                <w:sz w:val="20"/>
                <w:szCs w:val="20"/>
              </w:rPr>
            </w:pPr>
          </w:p>
          <w:p w14:paraId="120A940E" w14:textId="77777777" w:rsidR="005B18FF" w:rsidRPr="001A3961" w:rsidRDefault="005B18FF" w:rsidP="001A3961">
            <w:pPr>
              <w:jc w:val="center"/>
              <w:rPr>
                <w:rFonts w:cs="Calibri"/>
                <w:b/>
                <w:bCs/>
                <w:sz w:val="20"/>
                <w:szCs w:val="20"/>
              </w:rPr>
            </w:pPr>
            <w:r w:rsidRPr="001A3961">
              <w:rPr>
                <w:rFonts w:cs="Calibri"/>
                <w:b/>
                <w:bCs/>
                <w:sz w:val="20"/>
                <w:szCs w:val="20"/>
              </w:rPr>
              <w:t xml:space="preserve">Barrare </w:t>
            </w:r>
          </w:p>
          <w:p w14:paraId="3ADEA41E" w14:textId="77777777" w:rsidR="005B18FF" w:rsidRPr="001A3961" w:rsidRDefault="005B18FF" w:rsidP="001A3961">
            <w:pPr>
              <w:jc w:val="center"/>
              <w:rPr>
                <w:rFonts w:cs="Calibri"/>
                <w:b/>
                <w:bCs/>
                <w:sz w:val="20"/>
                <w:szCs w:val="20"/>
              </w:rPr>
            </w:pPr>
            <w:r w:rsidRPr="001A3961">
              <w:rPr>
                <w:rFonts w:cs="Calibri"/>
                <w:b/>
                <w:bCs/>
                <w:sz w:val="20"/>
                <w:szCs w:val="20"/>
              </w:rPr>
              <w:t xml:space="preserve">se equivalente </w:t>
            </w:r>
          </w:p>
        </w:tc>
        <w:tc>
          <w:tcPr>
            <w:tcW w:w="3373" w:type="dxa"/>
          </w:tcPr>
          <w:p w14:paraId="0A4AF43C" w14:textId="77777777" w:rsidR="005B18FF" w:rsidRPr="001A3961" w:rsidRDefault="005B18FF" w:rsidP="001A3961">
            <w:pPr>
              <w:jc w:val="center"/>
              <w:rPr>
                <w:rFonts w:cs="Calibri"/>
                <w:b/>
                <w:bCs/>
                <w:sz w:val="28"/>
                <w:szCs w:val="28"/>
              </w:rPr>
            </w:pPr>
          </w:p>
          <w:p w14:paraId="78885365" w14:textId="77777777" w:rsidR="005B18FF" w:rsidRPr="001A3961" w:rsidRDefault="005B18FF" w:rsidP="001A3961">
            <w:pPr>
              <w:jc w:val="center"/>
              <w:rPr>
                <w:rFonts w:cs="Calibri"/>
                <w:b/>
                <w:bCs/>
              </w:rPr>
            </w:pPr>
            <w:r w:rsidRPr="001A3961">
              <w:rPr>
                <w:rFonts w:cs="Calibri"/>
                <w:b/>
                <w:bCs/>
              </w:rPr>
              <w:t>CCNL OPERATORE ECONOMICO</w:t>
            </w:r>
          </w:p>
          <w:p w14:paraId="20F45356" w14:textId="77777777" w:rsidR="005B18FF" w:rsidRPr="001A3961" w:rsidRDefault="005B18FF" w:rsidP="001A3961">
            <w:pPr>
              <w:jc w:val="center"/>
              <w:rPr>
                <w:rFonts w:cs="Calibri"/>
                <w:b/>
                <w:bCs/>
              </w:rPr>
            </w:pPr>
          </w:p>
        </w:tc>
        <w:tc>
          <w:tcPr>
            <w:tcW w:w="6550" w:type="dxa"/>
          </w:tcPr>
          <w:p w14:paraId="582DD7A4" w14:textId="77777777" w:rsidR="005B18FF" w:rsidRDefault="005B18FF" w:rsidP="00AE470F">
            <w:pPr>
              <w:jc w:val="center"/>
              <w:rPr>
                <w:rFonts w:cs="Calibri"/>
                <w:b/>
                <w:bCs/>
              </w:rPr>
            </w:pPr>
            <w:r w:rsidRPr="00AD60A5">
              <w:rPr>
                <w:rFonts w:cs="Calibri"/>
                <w:b/>
                <w:bCs/>
              </w:rPr>
              <w:t>CCNL STAZIONE APPALTANTE</w:t>
            </w:r>
          </w:p>
          <w:p w14:paraId="71B6A0C4" w14:textId="77777777" w:rsidR="005B18FF" w:rsidRPr="00922BD7" w:rsidRDefault="00922BD7" w:rsidP="0071655C">
            <w:pPr>
              <w:jc w:val="both"/>
              <w:rPr>
                <w:rFonts w:cs="Calibri"/>
              </w:rPr>
            </w:pPr>
            <w:r w:rsidRPr="00922BD7">
              <w:rPr>
                <w:rFonts w:cs="Calibri"/>
              </w:rPr>
              <w:t>(</w:t>
            </w:r>
            <w:r w:rsidR="00AE470F">
              <w:rPr>
                <w:rFonts w:cs="Calibri"/>
              </w:rPr>
              <w:t>Di seguito estratto degli articoli degli articoli del CCNL indicato relativi agli i</w:t>
            </w:r>
            <w:r w:rsidRPr="00922BD7">
              <w:rPr>
                <w:rFonts w:cs="Calibri"/>
                <w:lang w:eastAsia="it-IT"/>
              </w:rPr>
              <w:t>stituti sui quali sarà effettuata la verifica di equivalenza de</w:t>
            </w:r>
            <w:r>
              <w:rPr>
                <w:rFonts w:cs="Calibri"/>
                <w:lang w:eastAsia="it-IT"/>
              </w:rPr>
              <w:t xml:space="preserve">lle </w:t>
            </w:r>
            <w:r w:rsidRPr="00922BD7">
              <w:rPr>
                <w:rFonts w:cs="Calibri"/>
                <w:lang w:eastAsia="it-IT"/>
              </w:rPr>
              <w:t>tutele normative</w:t>
            </w:r>
            <w:r w:rsidR="00AE470F">
              <w:rPr>
                <w:rFonts w:cs="Calibri"/>
                <w:lang w:eastAsia="it-IT"/>
              </w:rPr>
              <w:t>,</w:t>
            </w:r>
            <w:r w:rsidRPr="00922BD7">
              <w:rPr>
                <w:rFonts w:cs="Calibri"/>
                <w:lang w:eastAsia="it-IT"/>
              </w:rPr>
              <w:t xml:space="preserve"> ai sensi del</w:t>
            </w:r>
            <w:r w:rsidR="009D1E36">
              <w:rPr>
                <w:rFonts w:cs="Calibri"/>
                <w:lang w:eastAsia="it-IT"/>
              </w:rPr>
              <w:t>l’art. 4 allegato I.01 al Codice</w:t>
            </w:r>
            <w:r w:rsidR="0053585D">
              <w:rPr>
                <w:rFonts w:cs="Calibri"/>
                <w:lang w:eastAsia="it-IT"/>
              </w:rPr>
              <w:t>)</w:t>
            </w:r>
          </w:p>
        </w:tc>
        <w:tc>
          <w:tcPr>
            <w:tcW w:w="2976" w:type="dxa"/>
          </w:tcPr>
          <w:p w14:paraId="06427884" w14:textId="77777777" w:rsidR="005B18FF" w:rsidRPr="001A3961" w:rsidRDefault="005B18FF" w:rsidP="001A3961">
            <w:pPr>
              <w:jc w:val="center"/>
              <w:rPr>
                <w:rFonts w:ascii="Times New Roman" w:hAnsi="Times New Roman"/>
                <w:b/>
                <w:bCs/>
              </w:rPr>
            </w:pPr>
          </w:p>
          <w:p w14:paraId="3F16166D" w14:textId="77777777" w:rsidR="005B18FF" w:rsidRPr="001A3961" w:rsidRDefault="00AE470F" w:rsidP="001A3961">
            <w:pPr>
              <w:jc w:val="center"/>
              <w:rPr>
                <w:rFonts w:ascii="Times New Roman" w:hAnsi="Times New Roman"/>
                <w:b/>
                <w:bCs/>
              </w:rPr>
            </w:pPr>
            <w:r>
              <w:rPr>
                <w:rFonts w:cs="Calibri"/>
                <w:b/>
                <w:bCs/>
                <w:sz w:val="24"/>
                <w:szCs w:val="24"/>
              </w:rPr>
              <w:t>Eventuali n</w:t>
            </w:r>
            <w:r w:rsidR="005B18FF" w:rsidRPr="001A3961">
              <w:rPr>
                <w:rFonts w:cs="Calibri"/>
                <w:b/>
                <w:bCs/>
                <w:sz w:val="24"/>
                <w:szCs w:val="24"/>
              </w:rPr>
              <w:t>ote</w:t>
            </w:r>
            <w:r>
              <w:rPr>
                <w:rFonts w:cs="Calibri"/>
                <w:b/>
                <w:bCs/>
                <w:sz w:val="24"/>
                <w:szCs w:val="24"/>
              </w:rPr>
              <w:t xml:space="preserve"> dell’operatore economico </w:t>
            </w:r>
          </w:p>
        </w:tc>
      </w:tr>
      <w:tr w:rsidR="005B18FF" w14:paraId="3EF1D9B3" w14:textId="77777777" w:rsidTr="00F70EA0">
        <w:trPr>
          <w:trHeight w:val="1266"/>
        </w:trPr>
        <w:tc>
          <w:tcPr>
            <w:tcW w:w="1673" w:type="dxa"/>
          </w:tcPr>
          <w:p w14:paraId="0A948FDF" w14:textId="77777777" w:rsidR="00CC6F7C" w:rsidRPr="00CC6F7C" w:rsidRDefault="005B18FF" w:rsidP="00CC6F7C">
            <w:pPr>
              <w:jc w:val="center"/>
              <w:rPr>
                <w:rFonts w:cs="Calibri"/>
                <w:b/>
                <w:bCs/>
              </w:rPr>
            </w:pPr>
            <w:r w:rsidRPr="001A3961">
              <w:rPr>
                <w:rFonts w:cs="Calibri"/>
                <w:b/>
                <w:bCs/>
              </w:rPr>
              <w:t>Lavoro supplementare</w:t>
            </w:r>
            <w:r w:rsidR="000253C0">
              <w:rPr>
                <w:rFonts w:cs="Calibri"/>
                <w:b/>
                <w:bCs/>
              </w:rPr>
              <w:t xml:space="preserve"> e clausole relative al lavoro a tempo parziale</w:t>
            </w:r>
            <w:r w:rsidRPr="001A3961">
              <w:rPr>
                <w:rFonts w:cs="Calibri"/>
                <w:b/>
                <w:bCs/>
              </w:rPr>
              <w:t xml:space="preserve"> </w:t>
            </w:r>
          </w:p>
        </w:tc>
        <w:tc>
          <w:tcPr>
            <w:tcW w:w="1276" w:type="dxa"/>
          </w:tcPr>
          <w:p w14:paraId="006014DD" w14:textId="77777777" w:rsidR="005B18FF" w:rsidRPr="001A3961" w:rsidRDefault="005B18FF" w:rsidP="00922BD7">
            <w:pPr>
              <w:rPr>
                <w:sz w:val="40"/>
                <w:szCs w:val="40"/>
              </w:rPr>
            </w:pPr>
          </w:p>
          <w:p w14:paraId="010D1444" w14:textId="77777777" w:rsidR="005B18FF" w:rsidRPr="001A3961" w:rsidRDefault="005B18FF" w:rsidP="001A3961">
            <w:pPr>
              <w:jc w:val="center"/>
              <w:rPr>
                <w:rFonts w:cs="Calibri"/>
              </w:rPr>
            </w:pPr>
            <w:r w:rsidRPr="001A3961">
              <w:rPr>
                <w:sz w:val="40"/>
                <w:szCs w:val="40"/>
              </w:rPr>
              <w:sym w:font="Wingdings 2" w:char="F0A3"/>
            </w:r>
          </w:p>
        </w:tc>
        <w:tc>
          <w:tcPr>
            <w:tcW w:w="3373" w:type="dxa"/>
          </w:tcPr>
          <w:p w14:paraId="6DCF2E19" w14:textId="77777777" w:rsidR="005B18FF" w:rsidRPr="001A3961" w:rsidRDefault="005B18FF" w:rsidP="001A3961">
            <w:pPr>
              <w:jc w:val="both"/>
              <w:rPr>
                <w:rFonts w:cs="Calibri"/>
              </w:rPr>
            </w:pPr>
          </w:p>
        </w:tc>
        <w:tc>
          <w:tcPr>
            <w:tcW w:w="6550" w:type="dxa"/>
          </w:tcPr>
          <w:p w14:paraId="4028628A" w14:textId="77777777" w:rsidR="00EE1FC5" w:rsidRPr="00993D73" w:rsidRDefault="00EE1FC5" w:rsidP="008C1144">
            <w:pPr>
              <w:jc w:val="both"/>
              <w:rPr>
                <w:rFonts w:cs="Calibri"/>
                <w:sz w:val="20"/>
                <w:szCs w:val="20"/>
                <w:highlight w:val="yellow"/>
                <w:lang w:eastAsia="it-IT"/>
              </w:rPr>
            </w:pPr>
          </w:p>
        </w:tc>
        <w:tc>
          <w:tcPr>
            <w:tcW w:w="2976" w:type="dxa"/>
          </w:tcPr>
          <w:p w14:paraId="6859251E" w14:textId="77777777" w:rsidR="005B18FF" w:rsidRPr="001A3961" w:rsidRDefault="005B18FF" w:rsidP="001A3961">
            <w:pPr>
              <w:pStyle w:val="Default"/>
              <w:rPr>
                <w:rFonts w:ascii="Calibri" w:hAnsi="Calibri" w:cs="Calibri"/>
              </w:rPr>
            </w:pPr>
          </w:p>
        </w:tc>
      </w:tr>
      <w:tr w:rsidR="005B18FF" w14:paraId="18CE2C9B" w14:textId="77777777" w:rsidTr="002D61FC">
        <w:trPr>
          <w:trHeight w:val="58"/>
        </w:trPr>
        <w:tc>
          <w:tcPr>
            <w:tcW w:w="1673" w:type="dxa"/>
          </w:tcPr>
          <w:p w14:paraId="5F396DC9" w14:textId="77777777" w:rsidR="005B18FF" w:rsidRPr="001A3961" w:rsidRDefault="005B18FF" w:rsidP="001A3961">
            <w:pPr>
              <w:jc w:val="center"/>
              <w:rPr>
                <w:rFonts w:cs="Calibri"/>
                <w:b/>
                <w:bCs/>
              </w:rPr>
            </w:pPr>
            <w:r w:rsidRPr="001A3961">
              <w:rPr>
                <w:rFonts w:cs="Calibri"/>
                <w:b/>
                <w:bCs/>
              </w:rPr>
              <w:t>Lavoro straordinario</w:t>
            </w:r>
            <w:r w:rsidR="006818A6">
              <w:rPr>
                <w:rFonts w:cs="Calibri"/>
                <w:b/>
                <w:bCs/>
              </w:rPr>
              <w:t xml:space="preserve"> con particolare riferimento ai limiti massimi</w:t>
            </w:r>
          </w:p>
        </w:tc>
        <w:tc>
          <w:tcPr>
            <w:tcW w:w="1276" w:type="dxa"/>
          </w:tcPr>
          <w:p w14:paraId="393595FB" w14:textId="77777777" w:rsidR="005B18FF" w:rsidRPr="002D61FC" w:rsidRDefault="002D61FC" w:rsidP="002D61FC">
            <w:pPr>
              <w:rPr>
                <w:sz w:val="40"/>
                <w:szCs w:val="40"/>
              </w:rPr>
            </w:pPr>
            <w:r>
              <w:rPr>
                <w:sz w:val="40"/>
                <w:szCs w:val="40"/>
              </w:rPr>
              <w:t xml:space="preserve">    </w:t>
            </w:r>
            <w:r w:rsidRPr="001A3961">
              <w:rPr>
                <w:sz w:val="40"/>
                <w:szCs w:val="40"/>
              </w:rPr>
              <w:sym w:font="Wingdings 2" w:char="F0A3"/>
            </w:r>
          </w:p>
        </w:tc>
        <w:tc>
          <w:tcPr>
            <w:tcW w:w="3373" w:type="dxa"/>
          </w:tcPr>
          <w:p w14:paraId="57C78F7B" w14:textId="77777777" w:rsidR="005B18FF" w:rsidRPr="001A3961" w:rsidRDefault="005B18FF" w:rsidP="001A3961">
            <w:pPr>
              <w:rPr>
                <w:rFonts w:cs="Calibri"/>
                <w:lang w:val="en-US"/>
              </w:rPr>
            </w:pPr>
          </w:p>
        </w:tc>
        <w:tc>
          <w:tcPr>
            <w:tcW w:w="6550" w:type="dxa"/>
          </w:tcPr>
          <w:p w14:paraId="1DD83E99" w14:textId="77777777" w:rsidR="00AA2584" w:rsidRPr="00993D73" w:rsidRDefault="00AA2584" w:rsidP="00AA2584">
            <w:pPr>
              <w:autoSpaceDE w:val="0"/>
              <w:autoSpaceDN w:val="0"/>
              <w:adjustRightInd w:val="0"/>
              <w:spacing w:after="0" w:line="240" w:lineRule="auto"/>
              <w:jc w:val="both"/>
              <w:rPr>
                <w:rFonts w:cs="Calibri"/>
                <w:sz w:val="20"/>
                <w:szCs w:val="20"/>
                <w:highlight w:val="yellow"/>
                <w:lang w:eastAsia="it-IT"/>
              </w:rPr>
            </w:pPr>
          </w:p>
        </w:tc>
        <w:tc>
          <w:tcPr>
            <w:tcW w:w="2976" w:type="dxa"/>
          </w:tcPr>
          <w:p w14:paraId="0BE6300D" w14:textId="77777777" w:rsidR="005B18FF" w:rsidRPr="001A3961" w:rsidRDefault="005B18FF" w:rsidP="001A3961">
            <w:pPr>
              <w:pStyle w:val="Default"/>
              <w:rPr>
                <w:rFonts w:ascii="Calibri" w:hAnsi="Calibri" w:cs="Calibri"/>
              </w:rPr>
            </w:pPr>
          </w:p>
        </w:tc>
      </w:tr>
      <w:tr w:rsidR="005B18FF" w14:paraId="6B80B498" w14:textId="77777777" w:rsidTr="00AE470F">
        <w:tc>
          <w:tcPr>
            <w:tcW w:w="1673" w:type="dxa"/>
          </w:tcPr>
          <w:p w14:paraId="3891ED88" w14:textId="77777777" w:rsidR="005B18FF" w:rsidRPr="001A3961" w:rsidRDefault="005B18FF" w:rsidP="001A3961">
            <w:pPr>
              <w:jc w:val="center"/>
              <w:rPr>
                <w:rFonts w:cs="Calibri"/>
                <w:b/>
                <w:bCs/>
              </w:rPr>
            </w:pPr>
            <w:r w:rsidRPr="001A3961">
              <w:rPr>
                <w:rFonts w:cs="Calibri"/>
                <w:b/>
                <w:bCs/>
              </w:rPr>
              <w:t>Disciplina compensativa delle ex festività soppresse</w:t>
            </w:r>
          </w:p>
        </w:tc>
        <w:tc>
          <w:tcPr>
            <w:tcW w:w="1276" w:type="dxa"/>
          </w:tcPr>
          <w:p w14:paraId="51524F39" w14:textId="77777777" w:rsidR="005B18FF" w:rsidRPr="001A3961" w:rsidRDefault="005B18FF" w:rsidP="001A3961">
            <w:pPr>
              <w:pStyle w:val="Default"/>
              <w:jc w:val="center"/>
              <w:rPr>
                <w:sz w:val="40"/>
                <w:szCs w:val="40"/>
              </w:rPr>
            </w:pPr>
          </w:p>
          <w:p w14:paraId="5DB62F39" w14:textId="77777777" w:rsidR="005B18FF" w:rsidRPr="001A3961" w:rsidRDefault="005B18FF" w:rsidP="001A3961">
            <w:pPr>
              <w:pStyle w:val="Default"/>
              <w:jc w:val="center"/>
              <w:rPr>
                <w:rFonts w:ascii="Times New Roman" w:hAnsi="Times New Roman"/>
              </w:rPr>
            </w:pPr>
            <w:r w:rsidRPr="001A3961">
              <w:rPr>
                <w:sz w:val="40"/>
                <w:szCs w:val="40"/>
              </w:rPr>
              <w:sym w:font="Wingdings 2" w:char="F0A3"/>
            </w:r>
          </w:p>
        </w:tc>
        <w:tc>
          <w:tcPr>
            <w:tcW w:w="3373" w:type="dxa"/>
          </w:tcPr>
          <w:p w14:paraId="313E7EAA" w14:textId="77777777" w:rsidR="005B18FF" w:rsidRPr="001A3961" w:rsidRDefault="005B18FF" w:rsidP="001A3961">
            <w:pPr>
              <w:pStyle w:val="Default"/>
              <w:rPr>
                <w:rFonts w:ascii="Times New Roman" w:hAnsi="Times New Roman"/>
              </w:rPr>
            </w:pPr>
          </w:p>
        </w:tc>
        <w:tc>
          <w:tcPr>
            <w:tcW w:w="6550" w:type="dxa"/>
          </w:tcPr>
          <w:p w14:paraId="458E1B3F" w14:textId="77777777" w:rsidR="002C2185" w:rsidRPr="002C2185" w:rsidRDefault="002C2185" w:rsidP="003941D0">
            <w:pPr>
              <w:autoSpaceDE w:val="0"/>
              <w:autoSpaceDN w:val="0"/>
              <w:adjustRightInd w:val="0"/>
              <w:spacing w:after="0" w:line="240" w:lineRule="auto"/>
              <w:jc w:val="both"/>
              <w:rPr>
                <w:rFonts w:cs="Calibri"/>
              </w:rPr>
            </w:pPr>
          </w:p>
        </w:tc>
        <w:tc>
          <w:tcPr>
            <w:tcW w:w="2976" w:type="dxa"/>
          </w:tcPr>
          <w:p w14:paraId="77B81168" w14:textId="77777777" w:rsidR="005B18FF" w:rsidRPr="001A3961" w:rsidRDefault="005B18FF" w:rsidP="001A3961">
            <w:pPr>
              <w:pStyle w:val="Default"/>
              <w:rPr>
                <w:rFonts w:ascii="Calibri" w:hAnsi="Calibri" w:cs="Calibri"/>
              </w:rPr>
            </w:pPr>
          </w:p>
        </w:tc>
      </w:tr>
      <w:tr w:rsidR="005B18FF" w14:paraId="5186F805" w14:textId="77777777" w:rsidTr="00AE470F">
        <w:tc>
          <w:tcPr>
            <w:tcW w:w="1673" w:type="dxa"/>
          </w:tcPr>
          <w:p w14:paraId="439D2820" w14:textId="77777777" w:rsidR="005B18FF" w:rsidRPr="001A3961" w:rsidRDefault="005B18FF" w:rsidP="001A3961">
            <w:pPr>
              <w:jc w:val="center"/>
              <w:rPr>
                <w:rFonts w:cs="Calibri"/>
                <w:b/>
                <w:bCs/>
              </w:rPr>
            </w:pPr>
          </w:p>
          <w:p w14:paraId="7F1925AB" w14:textId="77777777" w:rsidR="005B18FF" w:rsidRPr="001A3961" w:rsidRDefault="005B18FF" w:rsidP="00CC6F7C">
            <w:pPr>
              <w:rPr>
                <w:rFonts w:cs="Calibri"/>
                <w:b/>
                <w:bCs/>
              </w:rPr>
            </w:pPr>
          </w:p>
          <w:p w14:paraId="02C70D5B" w14:textId="77777777" w:rsidR="005B18FF" w:rsidRPr="001A3961" w:rsidRDefault="009D1E36" w:rsidP="001A3961">
            <w:pPr>
              <w:jc w:val="center"/>
              <w:rPr>
                <w:rFonts w:cs="Calibri"/>
                <w:b/>
                <w:bCs/>
              </w:rPr>
            </w:pPr>
            <w:r>
              <w:rPr>
                <w:rFonts w:cs="Calibri"/>
                <w:b/>
                <w:bCs/>
              </w:rPr>
              <w:t>Durata del p</w:t>
            </w:r>
            <w:r w:rsidR="005B18FF" w:rsidRPr="001A3961">
              <w:rPr>
                <w:rFonts w:cs="Calibri"/>
                <w:b/>
                <w:bCs/>
              </w:rPr>
              <w:t>eriodo di prova</w:t>
            </w:r>
          </w:p>
        </w:tc>
        <w:tc>
          <w:tcPr>
            <w:tcW w:w="1276" w:type="dxa"/>
          </w:tcPr>
          <w:p w14:paraId="295815D4" w14:textId="77777777" w:rsidR="005B18FF" w:rsidRPr="001A3961" w:rsidRDefault="005B18FF" w:rsidP="001A3961">
            <w:pPr>
              <w:autoSpaceDE w:val="0"/>
              <w:autoSpaceDN w:val="0"/>
              <w:adjustRightInd w:val="0"/>
              <w:ind w:right="596"/>
              <w:jc w:val="both"/>
              <w:rPr>
                <w:rFonts w:ascii="Times New Roman" w:hAnsi="Times New Roman"/>
                <w:color w:val="000000"/>
              </w:rPr>
            </w:pPr>
          </w:p>
          <w:p w14:paraId="334A4195" w14:textId="77777777" w:rsidR="005B18FF" w:rsidRPr="001A3961" w:rsidRDefault="005B18FF" w:rsidP="001A3961">
            <w:pPr>
              <w:autoSpaceDE w:val="0"/>
              <w:autoSpaceDN w:val="0"/>
              <w:adjustRightInd w:val="0"/>
              <w:ind w:right="596"/>
              <w:jc w:val="center"/>
              <w:rPr>
                <w:sz w:val="40"/>
                <w:szCs w:val="40"/>
              </w:rPr>
            </w:pPr>
            <w:r w:rsidRPr="001A3961">
              <w:rPr>
                <w:sz w:val="40"/>
                <w:szCs w:val="40"/>
              </w:rPr>
              <w:t xml:space="preserve">    </w:t>
            </w:r>
          </w:p>
          <w:p w14:paraId="42C2BA42" w14:textId="77777777" w:rsidR="005B18FF" w:rsidRPr="001A3961" w:rsidRDefault="005B18FF" w:rsidP="001A3961">
            <w:pPr>
              <w:autoSpaceDE w:val="0"/>
              <w:autoSpaceDN w:val="0"/>
              <w:adjustRightInd w:val="0"/>
              <w:ind w:right="295"/>
              <w:jc w:val="center"/>
              <w:rPr>
                <w:sz w:val="40"/>
                <w:szCs w:val="40"/>
              </w:rPr>
            </w:pPr>
            <w:r w:rsidRPr="001A3961">
              <w:rPr>
                <w:sz w:val="40"/>
                <w:szCs w:val="40"/>
              </w:rPr>
              <w:sym w:font="Wingdings 2" w:char="F0A3"/>
            </w:r>
          </w:p>
          <w:p w14:paraId="43705A9B" w14:textId="77777777" w:rsidR="005B18FF" w:rsidRPr="001A3961" w:rsidRDefault="005B18FF" w:rsidP="001A3961">
            <w:pPr>
              <w:autoSpaceDE w:val="0"/>
              <w:autoSpaceDN w:val="0"/>
              <w:adjustRightInd w:val="0"/>
              <w:ind w:right="596"/>
              <w:rPr>
                <w:rFonts w:ascii="Times New Roman" w:hAnsi="Times New Roman"/>
                <w:color w:val="000000"/>
              </w:rPr>
            </w:pPr>
            <w:r w:rsidRPr="001A3961">
              <w:rPr>
                <w:sz w:val="40"/>
                <w:szCs w:val="40"/>
              </w:rPr>
              <w:t xml:space="preserve">   </w:t>
            </w:r>
          </w:p>
        </w:tc>
        <w:tc>
          <w:tcPr>
            <w:tcW w:w="3373" w:type="dxa"/>
          </w:tcPr>
          <w:p w14:paraId="4850C3F9" w14:textId="77777777" w:rsidR="005B18FF" w:rsidRPr="001A3961" w:rsidRDefault="005B18FF" w:rsidP="001A3961">
            <w:pPr>
              <w:autoSpaceDE w:val="0"/>
              <w:autoSpaceDN w:val="0"/>
              <w:adjustRightInd w:val="0"/>
              <w:ind w:right="596"/>
              <w:jc w:val="both"/>
              <w:rPr>
                <w:rFonts w:ascii="Times New Roman" w:hAnsi="Times New Roman"/>
                <w:color w:val="000000"/>
              </w:rPr>
            </w:pPr>
          </w:p>
        </w:tc>
        <w:tc>
          <w:tcPr>
            <w:tcW w:w="6550" w:type="dxa"/>
          </w:tcPr>
          <w:p w14:paraId="5D7B153A" w14:textId="77777777" w:rsidR="00662AB8" w:rsidRPr="00662AB8" w:rsidRDefault="00662AB8" w:rsidP="00FD6D54">
            <w:pPr>
              <w:autoSpaceDE w:val="0"/>
              <w:autoSpaceDN w:val="0"/>
              <w:adjustRightInd w:val="0"/>
              <w:spacing w:after="0" w:line="240" w:lineRule="auto"/>
              <w:jc w:val="both"/>
              <w:rPr>
                <w:rFonts w:cs="Calibri"/>
              </w:rPr>
            </w:pPr>
          </w:p>
          <w:p w14:paraId="55EA2FE1" w14:textId="77777777" w:rsidR="00D42702" w:rsidRPr="00993D73" w:rsidRDefault="00D42702" w:rsidP="003941D0">
            <w:pPr>
              <w:autoSpaceDE w:val="0"/>
              <w:autoSpaceDN w:val="0"/>
              <w:adjustRightInd w:val="0"/>
              <w:spacing w:after="0" w:line="240" w:lineRule="auto"/>
              <w:jc w:val="both"/>
              <w:rPr>
                <w:rFonts w:cs="Calibri"/>
                <w:b/>
                <w:bCs/>
              </w:rPr>
            </w:pPr>
          </w:p>
        </w:tc>
        <w:tc>
          <w:tcPr>
            <w:tcW w:w="2976" w:type="dxa"/>
          </w:tcPr>
          <w:p w14:paraId="143BB477" w14:textId="77777777" w:rsidR="005B18FF" w:rsidRPr="001A3961" w:rsidRDefault="005B18FF" w:rsidP="001A3961">
            <w:pPr>
              <w:pStyle w:val="Default"/>
              <w:rPr>
                <w:rFonts w:ascii="Times New Roman" w:hAnsi="Times New Roman" w:cs="Times New Roman"/>
              </w:rPr>
            </w:pPr>
          </w:p>
        </w:tc>
      </w:tr>
      <w:tr w:rsidR="005B18FF" w14:paraId="40B7FCD8" w14:textId="77777777" w:rsidTr="00A26EFA">
        <w:trPr>
          <w:trHeight w:val="1982"/>
        </w:trPr>
        <w:tc>
          <w:tcPr>
            <w:tcW w:w="1673" w:type="dxa"/>
          </w:tcPr>
          <w:p w14:paraId="41E5B9E6" w14:textId="77777777" w:rsidR="002D61FC" w:rsidRPr="001A3961" w:rsidRDefault="002D61FC" w:rsidP="002D61FC">
            <w:pPr>
              <w:rPr>
                <w:rFonts w:cs="Calibri"/>
                <w:b/>
                <w:bCs/>
              </w:rPr>
            </w:pPr>
          </w:p>
          <w:p w14:paraId="25197D7B" w14:textId="77777777" w:rsidR="005B18FF" w:rsidRPr="001A3961" w:rsidRDefault="009D1E36" w:rsidP="001A3961">
            <w:pPr>
              <w:jc w:val="center"/>
              <w:rPr>
                <w:rFonts w:ascii="Times New Roman" w:hAnsi="Times New Roman"/>
                <w:b/>
                <w:bCs/>
              </w:rPr>
            </w:pPr>
            <w:r>
              <w:rPr>
                <w:rFonts w:cs="Calibri"/>
                <w:b/>
                <w:bCs/>
              </w:rPr>
              <w:t>Durata del p</w:t>
            </w:r>
            <w:r w:rsidR="005B18FF" w:rsidRPr="001A3961">
              <w:rPr>
                <w:rFonts w:cs="Calibri"/>
                <w:b/>
                <w:bCs/>
              </w:rPr>
              <w:t>eriodo di preavviso</w:t>
            </w:r>
          </w:p>
        </w:tc>
        <w:tc>
          <w:tcPr>
            <w:tcW w:w="1276" w:type="dxa"/>
          </w:tcPr>
          <w:p w14:paraId="5DEF91C0" w14:textId="77777777" w:rsidR="005B18FF" w:rsidRDefault="005B18FF" w:rsidP="002D61FC">
            <w:pPr>
              <w:ind w:right="38"/>
              <w:rPr>
                <w:sz w:val="40"/>
                <w:szCs w:val="40"/>
              </w:rPr>
            </w:pPr>
          </w:p>
          <w:p w14:paraId="4AB76A2F" w14:textId="77777777" w:rsidR="002D61FC" w:rsidRPr="001A3961" w:rsidRDefault="002D61FC" w:rsidP="002D61FC">
            <w:pPr>
              <w:ind w:right="38"/>
              <w:rPr>
                <w:sz w:val="40"/>
                <w:szCs w:val="40"/>
              </w:rPr>
            </w:pPr>
          </w:p>
          <w:p w14:paraId="79717B71" w14:textId="77777777" w:rsidR="005B18FF" w:rsidRPr="001A3961" w:rsidRDefault="005B18FF" w:rsidP="001A3961">
            <w:pPr>
              <w:ind w:right="38"/>
              <w:jc w:val="center"/>
              <w:rPr>
                <w:rFonts w:ascii="Times New Roman" w:hAnsi="Times New Roman"/>
                <w:b/>
                <w:bCs/>
                <w:sz w:val="14"/>
                <w:szCs w:val="14"/>
              </w:rPr>
            </w:pPr>
            <w:r w:rsidRPr="001A3961">
              <w:rPr>
                <w:sz w:val="40"/>
                <w:szCs w:val="40"/>
              </w:rPr>
              <w:sym w:font="Wingdings 2" w:char="F0A3"/>
            </w:r>
          </w:p>
        </w:tc>
        <w:tc>
          <w:tcPr>
            <w:tcW w:w="3373" w:type="dxa"/>
          </w:tcPr>
          <w:p w14:paraId="11998D3F" w14:textId="77777777" w:rsidR="005B18FF" w:rsidRPr="001A3961" w:rsidRDefault="005B18FF" w:rsidP="001A3961">
            <w:pPr>
              <w:ind w:right="38"/>
              <w:jc w:val="center"/>
              <w:rPr>
                <w:rFonts w:ascii="Times New Roman" w:hAnsi="Times New Roman"/>
                <w:b/>
                <w:bCs/>
                <w:sz w:val="14"/>
                <w:szCs w:val="14"/>
              </w:rPr>
            </w:pPr>
          </w:p>
        </w:tc>
        <w:tc>
          <w:tcPr>
            <w:tcW w:w="6550" w:type="dxa"/>
          </w:tcPr>
          <w:p w14:paraId="4ACC72A4" w14:textId="77777777" w:rsidR="005B18FF" w:rsidRPr="00357AF7" w:rsidRDefault="005B18FF" w:rsidP="00FD6D54">
            <w:pPr>
              <w:autoSpaceDE w:val="0"/>
              <w:autoSpaceDN w:val="0"/>
              <w:adjustRightInd w:val="0"/>
              <w:spacing w:after="0" w:line="240" w:lineRule="auto"/>
              <w:jc w:val="both"/>
              <w:rPr>
                <w:rFonts w:cs="Calibri"/>
                <w:highlight w:val="yellow"/>
                <w:lang w:eastAsia="it-IT"/>
              </w:rPr>
            </w:pPr>
          </w:p>
        </w:tc>
        <w:tc>
          <w:tcPr>
            <w:tcW w:w="2976" w:type="dxa"/>
          </w:tcPr>
          <w:p w14:paraId="2056E5BB" w14:textId="77777777" w:rsidR="005B18FF" w:rsidRPr="001A3961" w:rsidRDefault="005B18FF" w:rsidP="001A3961">
            <w:pPr>
              <w:autoSpaceDE w:val="0"/>
              <w:autoSpaceDN w:val="0"/>
              <w:adjustRightInd w:val="0"/>
              <w:jc w:val="both"/>
              <w:rPr>
                <w:rFonts w:cs="Calibri"/>
              </w:rPr>
            </w:pPr>
          </w:p>
        </w:tc>
      </w:tr>
      <w:tr w:rsidR="005B18FF" w14:paraId="6E78AD27" w14:textId="77777777" w:rsidTr="00AE470F">
        <w:tc>
          <w:tcPr>
            <w:tcW w:w="1673" w:type="dxa"/>
          </w:tcPr>
          <w:p w14:paraId="6D6BB000" w14:textId="77777777" w:rsidR="00A26EFA" w:rsidRDefault="00A26EFA" w:rsidP="00904D28">
            <w:pPr>
              <w:jc w:val="center"/>
              <w:rPr>
                <w:rFonts w:cs="Calibri"/>
                <w:b/>
                <w:bCs/>
              </w:rPr>
            </w:pPr>
          </w:p>
          <w:p w14:paraId="574BDF6B" w14:textId="77777777" w:rsidR="0048252B" w:rsidRDefault="0048252B" w:rsidP="002D61FC">
            <w:pPr>
              <w:rPr>
                <w:rFonts w:cs="Calibri"/>
                <w:b/>
                <w:bCs/>
              </w:rPr>
            </w:pPr>
          </w:p>
          <w:p w14:paraId="14C6E99C" w14:textId="77777777" w:rsidR="00904D28" w:rsidRPr="001A3961" w:rsidRDefault="005B18FF" w:rsidP="00904D28">
            <w:pPr>
              <w:jc w:val="center"/>
              <w:rPr>
                <w:rFonts w:cs="Calibri"/>
                <w:b/>
                <w:bCs/>
              </w:rPr>
            </w:pPr>
            <w:r w:rsidRPr="001A3961">
              <w:rPr>
                <w:rFonts w:cs="Calibri"/>
                <w:b/>
                <w:bCs/>
              </w:rPr>
              <w:t>Malattia e infortunio</w:t>
            </w:r>
            <w:r w:rsidR="00904D28">
              <w:rPr>
                <w:rFonts w:cs="Calibri"/>
                <w:b/>
                <w:bCs/>
              </w:rPr>
              <w:t xml:space="preserve">: durata </w:t>
            </w:r>
            <w:r w:rsidR="00AD6FE1">
              <w:rPr>
                <w:rFonts w:cs="Calibri"/>
                <w:b/>
                <w:bCs/>
              </w:rPr>
              <w:t xml:space="preserve">del periodo di comporto </w:t>
            </w:r>
          </w:p>
          <w:p w14:paraId="2DFCC211" w14:textId="77777777" w:rsidR="005B18FF" w:rsidRPr="001A3961" w:rsidRDefault="005B18FF" w:rsidP="001A3961">
            <w:pPr>
              <w:jc w:val="center"/>
              <w:rPr>
                <w:rFonts w:ascii="Times New Roman" w:hAnsi="Times New Roman"/>
                <w:b/>
                <w:bCs/>
              </w:rPr>
            </w:pPr>
          </w:p>
          <w:p w14:paraId="54ADC916" w14:textId="77777777" w:rsidR="005B18FF" w:rsidRPr="001A3961" w:rsidRDefault="005B18FF" w:rsidP="001A3961">
            <w:pPr>
              <w:jc w:val="center"/>
              <w:rPr>
                <w:rFonts w:ascii="Times New Roman" w:hAnsi="Times New Roman"/>
                <w:b/>
                <w:bCs/>
              </w:rPr>
            </w:pPr>
          </w:p>
        </w:tc>
        <w:tc>
          <w:tcPr>
            <w:tcW w:w="1276" w:type="dxa"/>
          </w:tcPr>
          <w:p w14:paraId="2A0832B3" w14:textId="77777777" w:rsidR="0048252B" w:rsidRDefault="0048252B" w:rsidP="001A3961">
            <w:pPr>
              <w:jc w:val="both"/>
              <w:rPr>
                <w:rFonts w:cs="Calibri"/>
                <w:b/>
                <w:bCs/>
              </w:rPr>
            </w:pPr>
          </w:p>
          <w:p w14:paraId="178DD179" w14:textId="77777777" w:rsidR="0048252B" w:rsidRDefault="0048252B" w:rsidP="001A3961">
            <w:pPr>
              <w:jc w:val="both"/>
              <w:rPr>
                <w:rFonts w:cs="Calibri"/>
                <w:b/>
                <w:bCs/>
              </w:rPr>
            </w:pPr>
          </w:p>
          <w:p w14:paraId="36A9DDA2" w14:textId="77777777" w:rsidR="0048252B" w:rsidRDefault="0048252B" w:rsidP="001A3961">
            <w:pPr>
              <w:jc w:val="both"/>
              <w:rPr>
                <w:rFonts w:cs="Calibri"/>
                <w:b/>
                <w:bCs/>
              </w:rPr>
            </w:pPr>
          </w:p>
          <w:p w14:paraId="2DA85F0D" w14:textId="77777777" w:rsidR="00A26EFA" w:rsidRPr="001A3961" w:rsidRDefault="00A26EFA" w:rsidP="001A3961">
            <w:pPr>
              <w:jc w:val="both"/>
              <w:rPr>
                <w:rFonts w:cs="Calibri"/>
                <w:b/>
                <w:bCs/>
              </w:rPr>
            </w:pPr>
          </w:p>
          <w:p w14:paraId="2F534F57" w14:textId="77777777" w:rsidR="005B18FF" w:rsidRPr="001A3961" w:rsidRDefault="005B18FF" w:rsidP="001A3961">
            <w:pPr>
              <w:jc w:val="center"/>
              <w:rPr>
                <w:rFonts w:cs="Calibri"/>
                <w:b/>
                <w:bCs/>
              </w:rPr>
            </w:pPr>
            <w:r w:rsidRPr="001A3961">
              <w:rPr>
                <w:sz w:val="40"/>
                <w:szCs w:val="40"/>
              </w:rPr>
              <w:sym w:font="Wingdings 2" w:char="F0A3"/>
            </w:r>
          </w:p>
        </w:tc>
        <w:tc>
          <w:tcPr>
            <w:tcW w:w="3373" w:type="dxa"/>
          </w:tcPr>
          <w:p w14:paraId="2A177960" w14:textId="77777777" w:rsidR="005B18FF" w:rsidRPr="001A3961" w:rsidRDefault="005B18FF" w:rsidP="001A3961">
            <w:pPr>
              <w:jc w:val="both"/>
              <w:rPr>
                <w:rFonts w:cs="Calibri"/>
                <w:b/>
                <w:bCs/>
              </w:rPr>
            </w:pPr>
          </w:p>
        </w:tc>
        <w:tc>
          <w:tcPr>
            <w:tcW w:w="6550" w:type="dxa"/>
          </w:tcPr>
          <w:p w14:paraId="61981743" w14:textId="77777777" w:rsidR="00EB55B7" w:rsidRPr="00993D73" w:rsidRDefault="00EB55B7" w:rsidP="00FD6D54">
            <w:pPr>
              <w:autoSpaceDE w:val="0"/>
              <w:autoSpaceDN w:val="0"/>
              <w:adjustRightInd w:val="0"/>
              <w:spacing w:after="0" w:line="240" w:lineRule="auto"/>
              <w:jc w:val="both"/>
              <w:rPr>
                <w:rFonts w:cs="Calibri"/>
                <w:highlight w:val="yellow"/>
              </w:rPr>
            </w:pPr>
          </w:p>
        </w:tc>
        <w:tc>
          <w:tcPr>
            <w:tcW w:w="2976" w:type="dxa"/>
          </w:tcPr>
          <w:p w14:paraId="22C158CE" w14:textId="77777777" w:rsidR="005B18FF" w:rsidRPr="001A3961" w:rsidRDefault="005B18FF" w:rsidP="001A3961">
            <w:pPr>
              <w:pStyle w:val="Default"/>
              <w:rPr>
                <w:rFonts w:ascii="Calibri" w:hAnsi="Calibri" w:cs="Calibri"/>
                <w:sz w:val="18"/>
                <w:szCs w:val="18"/>
              </w:rPr>
            </w:pPr>
          </w:p>
        </w:tc>
      </w:tr>
      <w:tr w:rsidR="00AD6FE1" w14:paraId="3A2DE367" w14:textId="77777777" w:rsidTr="00AE470F">
        <w:tc>
          <w:tcPr>
            <w:tcW w:w="1673" w:type="dxa"/>
          </w:tcPr>
          <w:p w14:paraId="2697949A" w14:textId="77777777" w:rsidR="00AD6FE1" w:rsidRPr="001A3961" w:rsidRDefault="00AD6FE1" w:rsidP="009D1E36">
            <w:pPr>
              <w:jc w:val="center"/>
              <w:rPr>
                <w:rFonts w:cs="Calibri"/>
                <w:b/>
                <w:bCs/>
              </w:rPr>
            </w:pPr>
            <w:r>
              <w:rPr>
                <w:rFonts w:cs="Calibri"/>
                <w:b/>
                <w:bCs/>
              </w:rPr>
              <w:lastRenderedPageBreak/>
              <w:t xml:space="preserve">Malattie e </w:t>
            </w:r>
            <w:r w:rsidR="000253C0">
              <w:rPr>
                <w:rFonts w:cs="Calibri"/>
                <w:b/>
                <w:bCs/>
              </w:rPr>
              <w:t>infortunio: integrazione</w:t>
            </w:r>
            <w:r>
              <w:rPr>
                <w:rFonts w:cs="Calibri"/>
                <w:b/>
                <w:bCs/>
              </w:rPr>
              <w:t xml:space="preserve"> delle in</w:t>
            </w:r>
            <w:r w:rsidR="009D1E36">
              <w:rPr>
                <w:rFonts w:cs="Calibri"/>
                <w:b/>
                <w:bCs/>
              </w:rPr>
              <w:t>d</w:t>
            </w:r>
            <w:r>
              <w:rPr>
                <w:rFonts w:cs="Calibri"/>
                <w:b/>
                <w:bCs/>
              </w:rPr>
              <w:t>ennità</w:t>
            </w:r>
          </w:p>
        </w:tc>
        <w:tc>
          <w:tcPr>
            <w:tcW w:w="1276" w:type="dxa"/>
          </w:tcPr>
          <w:p w14:paraId="202C8CEC" w14:textId="77777777" w:rsidR="00AD6FE1" w:rsidRDefault="00AD6FE1" w:rsidP="001A3961">
            <w:pPr>
              <w:jc w:val="both"/>
              <w:rPr>
                <w:rFonts w:cs="Calibri"/>
                <w:b/>
                <w:bCs/>
              </w:rPr>
            </w:pPr>
          </w:p>
          <w:p w14:paraId="6826FD51" w14:textId="77777777" w:rsidR="00A26EFA" w:rsidRDefault="00A26EFA" w:rsidP="001A3961">
            <w:pPr>
              <w:jc w:val="both"/>
              <w:rPr>
                <w:rFonts w:cs="Calibri"/>
                <w:b/>
                <w:bCs/>
              </w:rPr>
            </w:pPr>
          </w:p>
          <w:p w14:paraId="3AD1067C" w14:textId="77777777" w:rsidR="00A26EFA" w:rsidRDefault="00A26EFA" w:rsidP="001A3961">
            <w:pPr>
              <w:jc w:val="both"/>
              <w:rPr>
                <w:rFonts w:cs="Calibri"/>
                <w:b/>
                <w:bCs/>
              </w:rPr>
            </w:pPr>
          </w:p>
          <w:p w14:paraId="7FF298C3" w14:textId="77777777" w:rsidR="00A26EFA" w:rsidRDefault="00A26EFA" w:rsidP="001A3961">
            <w:pPr>
              <w:jc w:val="both"/>
              <w:rPr>
                <w:rFonts w:cs="Calibri"/>
                <w:b/>
                <w:bCs/>
              </w:rPr>
            </w:pPr>
          </w:p>
          <w:p w14:paraId="18DB6941" w14:textId="77777777" w:rsidR="0048252B" w:rsidRDefault="0048252B" w:rsidP="001A3961">
            <w:pPr>
              <w:jc w:val="both"/>
              <w:rPr>
                <w:rFonts w:cs="Calibri"/>
                <w:b/>
                <w:bCs/>
              </w:rPr>
            </w:pPr>
          </w:p>
          <w:p w14:paraId="34619232" w14:textId="77777777" w:rsidR="0048252B" w:rsidRDefault="0048252B" w:rsidP="001A3961">
            <w:pPr>
              <w:jc w:val="both"/>
              <w:rPr>
                <w:rFonts w:cs="Calibri"/>
                <w:b/>
                <w:bCs/>
              </w:rPr>
            </w:pPr>
          </w:p>
          <w:p w14:paraId="1E3248C1" w14:textId="77777777" w:rsidR="0048252B" w:rsidRDefault="0048252B" w:rsidP="001A3961">
            <w:pPr>
              <w:jc w:val="both"/>
              <w:rPr>
                <w:rFonts w:cs="Calibri"/>
                <w:b/>
                <w:bCs/>
              </w:rPr>
            </w:pPr>
          </w:p>
          <w:p w14:paraId="0A1DDD9F" w14:textId="77777777" w:rsidR="0048252B" w:rsidRDefault="0048252B" w:rsidP="001A3961">
            <w:pPr>
              <w:jc w:val="both"/>
              <w:rPr>
                <w:rFonts w:cs="Calibri"/>
                <w:b/>
                <w:bCs/>
              </w:rPr>
            </w:pPr>
          </w:p>
          <w:p w14:paraId="36CBD782" w14:textId="77777777" w:rsidR="00A26EFA" w:rsidRPr="001A3961" w:rsidRDefault="00A26EFA" w:rsidP="00A26EFA">
            <w:pPr>
              <w:ind w:left="170"/>
              <w:jc w:val="both"/>
              <w:rPr>
                <w:rFonts w:cs="Calibri"/>
                <w:b/>
                <w:bCs/>
              </w:rPr>
            </w:pPr>
            <w:r w:rsidRPr="001A3961">
              <w:rPr>
                <w:sz w:val="40"/>
                <w:szCs w:val="40"/>
              </w:rPr>
              <w:sym w:font="Wingdings 2" w:char="F0A3"/>
            </w:r>
          </w:p>
        </w:tc>
        <w:tc>
          <w:tcPr>
            <w:tcW w:w="3373" w:type="dxa"/>
          </w:tcPr>
          <w:p w14:paraId="4517594A" w14:textId="77777777" w:rsidR="00AD6FE1" w:rsidRPr="001A3961" w:rsidRDefault="00AD6FE1" w:rsidP="001A3961">
            <w:pPr>
              <w:jc w:val="both"/>
              <w:rPr>
                <w:rFonts w:cs="Calibri"/>
                <w:b/>
                <w:bCs/>
              </w:rPr>
            </w:pPr>
          </w:p>
        </w:tc>
        <w:tc>
          <w:tcPr>
            <w:tcW w:w="6550" w:type="dxa"/>
          </w:tcPr>
          <w:p w14:paraId="2BC9352A" w14:textId="77777777" w:rsidR="00977A07" w:rsidRPr="00993D73" w:rsidRDefault="00977A07" w:rsidP="00977A07">
            <w:pPr>
              <w:jc w:val="both"/>
              <w:rPr>
                <w:rFonts w:cs="Calibri"/>
                <w:b/>
                <w:bCs/>
              </w:rPr>
            </w:pPr>
          </w:p>
          <w:p w14:paraId="61095875" w14:textId="77777777" w:rsidR="00A933B2" w:rsidRPr="00EE1FC5" w:rsidRDefault="00A933B2" w:rsidP="00FD6D54">
            <w:pPr>
              <w:jc w:val="both"/>
              <w:rPr>
                <w:rFonts w:cs="Calibri"/>
              </w:rPr>
            </w:pPr>
          </w:p>
        </w:tc>
        <w:tc>
          <w:tcPr>
            <w:tcW w:w="2976" w:type="dxa"/>
          </w:tcPr>
          <w:p w14:paraId="3E93764B" w14:textId="77777777" w:rsidR="00AD6FE1" w:rsidRPr="001A3961" w:rsidRDefault="00AD6FE1" w:rsidP="001A3961">
            <w:pPr>
              <w:pStyle w:val="Default"/>
              <w:rPr>
                <w:rFonts w:ascii="Calibri" w:hAnsi="Calibri" w:cs="Calibri"/>
                <w:sz w:val="18"/>
                <w:szCs w:val="18"/>
              </w:rPr>
            </w:pPr>
          </w:p>
        </w:tc>
      </w:tr>
      <w:tr w:rsidR="005B18FF" w14:paraId="16BEB2F2" w14:textId="77777777" w:rsidTr="00FD6D54">
        <w:trPr>
          <w:trHeight w:val="2446"/>
        </w:trPr>
        <w:tc>
          <w:tcPr>
            <w:tcW w:w="1673" w:type="dxa"/>
          </w:tcPr>
          <w:p w14:paraId="0D79BD30" w14:textId="77777777" w:rsidR="005B18FF" w:rsidRPr="001A3961" w:rsidRDefault="005B18FF" w:rsidP="009D1E36">
            <w:pPr>
              <w:jc w:val="center"/>
              <w:rPr>
                <w:rFonts w:cs="Calibri"/>
                <w:b/>
                <w:bCs/>
              </w:rPr>
            </w:pPr>
            <w:r w:rsidRPr="001A3961">
              <w:rPr>
                <w:rFonts w:cs="Calibri"/>
                <w:b/>
                <w:bCs/>
              </w:rPr>
              <w:t>Maternità</w:t>
            </w:r>
            <w:r w:rsidR="009D1E36">
              <w:rPr>
                <w:rFonts w:cs="Calibri"/>
                <w:b/>
                <w:bCs/>
              </w:rPr>
              <w:t xml:space="preserve"> e indennità previste per l’astensione obbligatoria e facoltativa dei genitori</w:t>
            </w:r>
          </w:p>
        </w:tc>
        <w:tc>
          <w:tcPr>
            <w:tcW w:w="1276" w:type="dxa"/>
          </w:tcPr>
          <w:p w14:paraId="125B9AF4" w14:textId="77777777" w:rsidR="005B18FF" w:rsidRPr="001A3961" w:rsidRDefault="002D61FC" w:rsidP="002D61FC">
            <w:pPr>
              <w:rPr>
                <w:rFonts w:cs="Calibri"/>
                <w:b/>
                <w:bCs/>
              </w:rPr>
            </w:pPr>
            <w:r>
              <w:rPr>
                <w:sz w:val="40"/>
                <w:szCs w:val="40"/>
              </w:rPr>
              <w:t xml:space="preserve">   </w:t>
            </w:r>
            <w:r w:rsidR="005B18FF" w:rsidRPr="001A3961">
              <w:rPr>
                <w:sz w:val="40"/>
                <w:szCs w:val="40"/>
              </w:rPr>
              <w:sym w:font="Wingdings 2" w:char="F0A3"/>
            </w:r>
          </w:p>
        </w:tc>
        <w:tc>
          <w:tcPr>
            <w:tcW w:w="3373" w:type="dxa"/>
          </w:tcPr>
          <w:p w14:paraId="5F54452D" w14:textId="77777777" w:rsidR="005B18FF" w:rsidRPr="001A3961" w:rsidRDefault="005B18FF" w:rsidP="001A3961">
            <w:pPr>
              <w:jc w:val="center"/>
              <w:rPr>
                <w:rFonts w:cs="Calibri"/>
                <w:b/>
                <w:bCs/>
              </w:rPr>
            </w:pPr>
          </w:p>
        </w:tc>
        <w:tc>
          <w:tcPr>
            <w:tcW w:w="6550" w:type="dxa"/>
          </w:tcPr>
          <w:p w14:paraId="3EEEB493" w14:textId="77777777" w:rsidR="00977A07" w:rsidRPr="00993D73" w:rsidRDefault="00977A07" w:rsidP="00FD6D54">
            <w:pPr>
              <w:autoSpaceDE w:val="0"/>
              <w:autoSpaceDN w:val="0"/>
              <w:adjustRightInd w:val="0"/>
              <w:spacing w:after="0" w:line="240" w:lineRule="auto"/>
              <w:rPr>
                <w:rFonts w:cs="Calibri"/>
                <w:lang w:eastAsia="it-IT"/>
              </w:rPr>
            </w:pPr>
          </w:p>
        </w:tc>
        <w:tc>
          <w:tcPr>
            <w:tcW w:w="2976" w:type="dxa"/>
          </w:tcPr>
          <w:p w14:paraId="66925473" w14:textId="77777777" w:rsidR="005B18FF" w:rsidRPr="001A3961" w:rsidRDefault="005B18FF" w:rsidP="001A3961">
            <w:pPr>
              <w:pStyle w:val="Default"/>
              <w:jc w:val="center"/>
              <w:rPr>
                <w:rFonts w:ascii="Calibri" w:hAnsi="Calibri" w:cs="Calibri"/>
              </w:rPr>
            </w:pPr>
          </w:p>
        </w:tc>
      </w:tr>
      <w:tr w:rsidR="005B18FF" w14:paraId="79BC1CE1" w14:textId="77777777" w:rsidTr="00AE470F">
        <w:trPr>
          <w:trHeight w:val="629"/>
        </w:trPr>
        <w:tc>
          <w:tcPr>
            <w:tcW w:w="1673" w:type="dxa"/>
          </w:tcPr>
          <w:p w14:paraId="2CE3A85C" w14:textId="77777777" w:rsidR="005B18FF" w:rsidRPr="001A3961" w:rsidRDefault="005B18FF" w:rsidP="001A3961">
            <w:pPr>
              <w:jc w:val="center"/>
              <w:rPr>
                <w:rFonts w:cs="Calibri"/>
                <w:b/>
                <w:bCs/>
              </w:rPr>
            </w:pPr>
            <w:r w:rsidRPr="001A3961">
              <w:rPr>
                <w:rFonts w:cs="Calibri"/>
                <w:b/>
                <w:bCs/>
              </w:rPr>
              <w:t>Monte ore di permessi retribuiti</w:t>
            </w:r>
          </w:p>
        </w:tc>
        <w:tc>
          <w:tcPr>
            <w:tcW w:w="1276" w:type="dxa"/>
          </w:tcPr>
          <w:p w14:paraId="34BE9EF9" w14:textId="77777777" w:rsidR="005B18FF" w:rsidRPr="001A3961" w:rsidRDefault="005B18FF" w:rsidP="001A3961">
            <w:pPr>
              <w:jc w:val="center"/>
              <w:rPr>
                <w:rFonts w:cs="Calibri"/>
                <w:b/>
                <w:bCs/>
              </w:rPr>
            </w:pPr>
            <w:r w:rsidRPr="001A3961">
              <w:rPr>
                <w:sz w:val="40"/>
                <w:szCs w:val="40"/>
              </w:rPr>
              <w:sym w:font="Wingdings 2" w:char="F0A3"/>
            </w:r>
          </w:p>
        </w:tc>
        <w:tc>
          <w:tcPr>
            <w:tcW w:w="3373" w:type="dxa"/>
          </w:tcPr>
          <w:p w14:paraId="0FE59039" w14:textId="77777777" w:rsidR="005B18FF" w:rsidRPr="001A3961" w:rsidRDefault="005B18FF" w:rsidP="001A3961">
            <w:pPr>
              <w:jc w:val="center"/>
              <w:rPr>
                <w:rFonts w:cs="Calibri"/>
                <w:b/>
                <w:bCs/>
              </w:rPr>
            </w:pPr>
          </w:p>
        </w:tc>
        <w:tc>
          <w:tcPr>
            <w:tcW w:w="6550" w:type="dxa"/>
          </w:tcPr>
          <w:p w14:paraId="74DAA568" w14:textId="77777777" w:rsidR="00EE1FC5" w:rsidRPr="00993D73" w:rsidRDefault="00EE1FC5" w:rsidP="00EE1FC5">
            <w:pPr>
              <w:autoSpaceDE w:val="0"/>
              <w:autoSpaceDN w:val="0"/>
              <w:adjustRightInd w:val="0"/>
              <w:spacing w:after="0" w:line="240" w:lineRule="auto"/>
              <w:jc w:val="both"/>
              <w:rPr>
                <w:rFonts w:cs="Calibri"/>
                <w:lang w:eastAsia="it-IT"/>
              </w:rPr>
            </w:pPr>
          </w:p>
        </w:tc>
        <w:tc>
          <w:tcPr>
            <w:tcW w:w="2976" w:type="dxa"/>
          </w:tcPr>
          <w:p w14:paraId="03088AA9" w14:textId="77777777" w:rsidR="005B18FF" w:rsidRPr="001A3961" w:rsidRDefault="005B18FF" w:rsidP="001A3961">
            <w:pPr>
              <w:pStyle w:val="Default"/>
              <w:rPr>
                <w:rFonts w:ascii="Calibri" w:hAnsi="Calibri" w:cs="Calibri"/>
              </w:rPr>
            </w:pPr>
          </w:p>
        </w:tc>
      </w:tr>
      <w:tr w:rsidR="005B18FF" w14:paraId="6CCE3AF5" w14:textId="77777777" w:rsidTr="00AE470F">
        <w:tc>
          <w:tcPr>
            <w:tcW w:w="1673" w:type="dxa"/>
          </w:tcPr>
          <w:p w14:paraId="40ACD961" w14:textId="77777777" w:rsidR="005B18FF" w:rsidRPr="001A3961" w:rsidRDefault="005B18FF" w:rsidP="001A3961">
            <w:pPr>
              <w:jc w:val="center"/>
              <w:rPr>
                <w:rFonts w:cs="Calibri"/>
                <w:b/>
                <w:bCs/>
              </w:rPr>
            </w:pPr>
            <w:r w:rsidRPr="001A3961">
              <w:rPr>
                <w:rFonts w:cs="Calibri"/>
                <w:b/>
                <w:bCs/>
              </w:rPr>
              <w:lastRenderedPageBreak/>
              <w:t>Bilateralità</w:t>
            </w:r>
          </w:p>
        </w:tc>
        <w:tc>
          <w:tcPr>
            <w:tcW w:w="1276" w:type="dxa"/>
          </w:tcPr>
          <w:p w14:paraId="421C2F89" w14:textId="77777777" w:rsidR="005B18FF" w:rsidRPr="001A3961" w:rsidRDefault="005B18FF" w:rsidP="001A3961">
            <w:pPr>
              <w:jc w:val="center"/>
              <w:rPr>
                <w:rFonts w:cs="Calibri"/>
                <w:b/>
                <w:bCs/>
              </w:rPr>
            </w:pPr>
            <w:r w:rsidRPr="001A3961">
              <w:rPr>
                <w:sz w:val="40"/>
                <w:szCs w:val="40"/>
              </w:rPr>
              <w:sym w:font="Wingdings 2" w:char="F0A3"/>
            </w:r>
          </w:p>
        </w:tc>
        <w:tc>
          <w:tcPr>
            <w:tcW w:w="3373" w:type="dxa"/>
          </w:tcPr>
          <w:p w14:paraId="4E5877AE" w14:textId="77777777" w:rsidR="005B18FF" w:rsidRPr="001A3961" w:rsidRDefault="005B18FF" w:rsidP="001A3961">
            <w:pPr>
              <w:jc w:val="both"/>
              <w:rPr>
                <w:rFonts w:cs="Calibri"/>
                <w:b/>
                <w:bCs/>
              </w:rPr>
            </w:pPr>
          </w:p>
        </w:tc>
        <w:tc>
          <w:tcPr>
            <w:tcW w:w="6550" w:type="dxa"/>
          </w:tcPr>
          <w:p w14:paraId="32F4310B" w14:textId="77777777" w:rsidR="005B18FF" w:rsidRPr="0000623B" w:rsidRDefault="005B18FF" w:rsidP="00EE1FC5">
            <w:pPr>
              <w:autoSpaceDE w:val="0"/>
              <w:autoSpaceDN w:val="0"/>
              <w:adjustRightInd w:val="0"/>
              <w:spacing w:after="0" w:line="240" w:lineRule="auto"/>
              <w:jc w:val="both"/>
              <w:rPr>
                <w:rFonts w:cs="Calibri"/>
                <w:highlight w:val="yellow"/>
              </w:rPr>
            </w:pPr>
          </w:p>
        </w:tc>
        <w:tc>
          <w:tcPr>
            <w:tcW w:w="2976" w:type="dxa"/>
          </w:tcPr>
          <w:p w14:paraId="5D0A3CE0" w14:textId="77777777" w:rsidR="005B18FF" w:rsidRPr="001A3961" w:rsidRDefault="005B18FF" w:rsidP="001A3961">
            <w:pPr>
              <w:jc w:val="center"/>
              <w:rPr>
                <w:rFonts w:cs="Calibri"/>
                <w:b/>
                <w:bCs/>
              </w:rPr>
            </w:pPr>
          </w:p>
        </w:tc>
      </w:tr>
      <w:tr w:rsidR="009D1E36" w14:paraId="6673A456" w14:textId="77777777" w:rsidTr="00AE470F">
        <w:tc>
          <w:tcPr>
            <w:tcW w:w="1673" w:type="dxa"/>
          </w:tcPr>
          <w:p w14:paraId="3EB8C430" w14:textId="77777777" w:rsidR="009D1E36" w:rsidRPr="001A3961" w:rsidRDefault="009D1E36" w:rsidP="001A3961">
            <w:pPr>
              <w:jc w:val="center"/>
              <w:rPr>
                <w:rFonts w:cs="Calibri"/>
                <w:b/>
                <w:bCs/>
              </w:rPr>
            </w:pPr>
            <w:r w:rsidRPr="00F82EFF">
              <w:rPr>
                <w:rFonts w:cs="Calibri"/>
                <w:b/>
                <w:bCs/>
                <w:highlight w:val="yellow"/>
              </w:rPr>
              <w:t>Obblighi di denunzia agli enti previdenziali, inclusa la Cassa edile, assicurativi e antinfortunistici, inclusa la formazione in materia di saluta e sicurezza sul lavoro, anche con riferimento alla formazione di primo ingresso e</w:t>
            </w:r>
            <w:r>
              <w:rPr>
                <w:rFonts w:cs="Calibri"/>
                <w:b/>
                <w:bCs/>
              </w:rPr>
              <w:t xml:space="preserve"> all’aggiornamento periodico</w:t>
            </w:r>
          </w:p>
        </w:tc>
        <w:tc>
          <w:tcPr>
            <w:tcW w:w="1276" w:type="dxa"/>
          </w:tcPr>
          <w:p w14:paraId="514B3097" w14:textId="77777777" w:rsidR="009D1E36" w:rsidRPr="001A3961" w:rsidRDefault="009D1E36" w:rsidP="001A3961">
            <w:pPr>
              <w:jc w:val="center"/>
              <w:rPr>
                <w:sz w:val="40"/>
                <w:szCs w:val="40"/>
              </w:rPr>
            </w:pPr>
            <w:r w:rsidRPr="001A3961">
              <w:rPr>
                <w:sz w:val="40"/>
                <w:szCs w:val="40"/>
              </w:rPr>
              <w:sym w:font="Wingdings 2" w:char="F0A3"/>
            </w:r>
          </w:p>
        </w:tc>
        <w:tc>
          <w:tcPr>
            <w:tcW w:w="3373" w:type="dxa"/>
          </w:tcPr>
          <w:p w14:paraId="4C93F1D0" w14:textId="77777777" w:rsidR="009D1E36" w:rsidRPr="001A3961" w:rsidRDefault="009D1E36" w:rsidP="001A3961">
            <w:pPr>
              <w:jc w:val="both"/>
              <w:rPr>
                <w:rFonts w:cs="Calibri"/>
                <w:b/>
                <w:bCs/>
              </w:rPr>
            </w:pPr>
          </w:p>
        </w:tc>
        <w:tc>
          <w:tcPr>
            <w:tcW w:w="6550" w:type="dxa"/>
          </w:tcPr>
          <w:p w14:paraId="62B0940C" w14:textId="77777777" w:rsidR="009D1E36" w:rsidRPr="0000623B" w:rsidRDefault="009D1E36" w:rsidP="00D350A4">
            <w:pPr>
              <w:autoSpaceDE w:val="0"/>
              <w:autoSpaceDN w:val="0"/>
              <w:adjustRightInd w:val="0"/>
              <w:spacing w:after="0" w:line="240" w:lineRule="auto"/>
              <w:jc w:val="center"/>
              <w:rPr>
                <w:rFonts w:cs="Calibri"/>
                <w:highlight w:val="yellow"/>
              </w:rPr>
            </w:pPr>
          </w:p>
        </w:tc>
        <w:tc>
          <w:tcPr>
            <w:tcW w:w="2976" w:type="dxa"/>
          </w:tcPr>
          <w:p w14:paraId="2B2C883F" w14:textId="77777777" w:rsidR="009D1E36" w:rsidRPr="001A3961" w:rsidRDefault="009D1E36" w:rsidP="001A3961">
            <w:pPr>
              <w:jc w:val="center"/>
              <w:rPr>
                <w:rFonts w:cs="Calibri"/>
                <w:b/>
                <w:bCs/>
              </w:rPr>
            </w:pPr>
          </w:p>
        </w:tc>
      </w:tr>
      <w:tr w:rsidR="0058760C" w:rsidRPr="009B4CDB" w14:paraId="68DAB147" w14:textId="77777777" w:rsidTr="00AE470F">
        <w:trPr>
          <w:trHeight w:val="349"/>
        </w:trPr>
        <w:tc>
          <w:tcPr>
            <w:tcW w:w="1673" w:type="dxa"/>
          </w:tcPr>
          <w:p w14:paraId="7D747412" w14:textId="77777777" w:rsidR="0058760C" w:rsidRDefault="0058760C" w:rsidP="0058760C">
            <w:pPr>
              <w:jc w:val="center"/>
              <w:rPr>
                <w:rFonts w:cs="Calibri"/>
                <w:b/>
                <w:bCs/>
              </w:rPr>
            </w:pPr>
          </w:p>
          <w:p w14:paraId="7795C7E7" w14:textId="77777777" w:rsidR="0058760C" w:rsidRPr="001A3961" w:rsidRDefault="0058760C" w:rsidP="0058760C">
            <w:pPr>
              <w:jc w:val="center"/>
              <w:rPr>
                <w:rFonts w:cs="Calibri"/>
                <w:b/>
                <w:bCs/>
              </w:rPr>
            </w:pPr>
            <w:r w:rsidRPr="001A3961">
              <w:rPr>
                <w:rFonts w:cs="Calibri"/>
                <w:b/>
                <w:bCs/>
              </w:rPr>
              <w:t xml:space="preserve">Previdenza </w:t>
            </w:r>
            <w:r w:rsidRPr="001A3961">
              <w:rPr>
                <w:rFonts w:cs="Calibri"/>
                <w:b/>
                <w:bCs/>
              </w:rPr>
              <w:lastRenderedPageBreak/>
              <w:t>integrativa</w:t>
            </w:r>
          </w:p>
        </w:tc>
        <w:tc>
          <w:tcPr>
            <w:tcW w:w="1276" w:type="dxa"/>
          </w:tcPr>
          <w:p w14:paraId="4822E260" w14:textId="77777777" w:rsidR="0058760C" w:rsidRDefault="0058760C" w:rsidP="0058760C">
            <w:pPr>
              <w:jc w:val="center"/>
              <w:rPr>
                <w:sz w:val="40"/>
                <w:szCs w:val="40"/>
              </w:rPr>
            </w:pPr>
          </w:p>
          <w:p w14:paraId="7D5367A5" w14:textId="77777777" w:rsidR="0058760C" w:rsidRPr="001A3961" w:rsidRDefault="0058760C" w:rsidP="0058760C">
            <w:pPr>
              <w:jc w:val="center"/>
              <w:rPr>
                <w:rFonts w:cs="Calibri"/>
              </w:rPr>
            </w:pPr>
            <w:r w:rsidRPr="001A3961">
              <w:rPr>
                <w:sz w:val="40"/>
                <w:szCs w:val="40"/>
              </w:rPr>
              <w:lastRenderedPageBreak/>
              <w:sym w:font="Wingdings 2" w:char="F0A3"/>
            </w:r>
          </w:p>
        </w:tc>
        <w:tc>
          <w:tcPr>
            <w:tcW w:w="3373" w:type="dxa"/>
          </w:tcPr>
          <w:p w14:paraId="03BC1EEE" w14:textId="77777777" w:rsidR="0058760C" w:rsidRPr="001A3961" w:rsidRDefault="0058760C" w:rsidP="0058760C">
            <w:pPr>
              <w:jc w:val="both"/>
              <w:rPr>
                <w:rFonts w:cs="Calibri"/>
              </w:rPr>
            </w:pPr>
          </w:p>
        </w:tc>
        <w:tc>
          <w:tcPr>
            <w:tcW w:w="6550" w:type="dxa"/>
          </w:tcPr>
          <w:p w14:paraId="62FB38D8" w14:textId="77777777" w:rsidR="00FD6D54" w:rsidRPr="00E04ADB" w:rsidRDefault="00FD6D54" w:rsidP="00FD6D54">
            <w:pPr>
              <w:autoSpaceDE w:val="0"/>
              <w:autoSpaceDN w:val="0"/>
              <w:adjustRightInd w:val="0"/>
              <w:spacing w:after="0" w:line="240" w:lineRule="auto"/>
              <w:jc w:val="both"/>
              <w:rPr>
                <w:rFonts w:cs="Calibri"/>
                <w:highlight w:val="yellow"/>
                <w:lang w:eastAsia="it-IT"/>
              </w:rPr>
            </w:pPr>
          </w:p>
          <w:p w14:paraId="5AC0B300" w14:textId="77777777" w:rsidR="0058760C" w:rsidRPr="00E04ADB" w:rsidRDefault="00F0490D" w:rsidP="00F0490D">
            <w:pPr>
              <w:autoSpaceDE w:val="0"/>
              <w:autoSpaceDN w:val="0"/>
              <w:adjustRightInd w:val="0"/>
              <w:spacing w:after="0" w:line="240" w:lineRule="auto"/>
              <w:jc w:val="both"/>
              <w:rPr>
                <w:rFonts w:cs="Calibri"/>
                <w:highlight w:val="yellow"/>
                <w:lang w:eastAsia="it-IT"/>
              </w:rPr>
            </w:pPr>
            <w:r w:rsidRPr="00E04ADB">
              <w:rPr>
                <w:rFonts w:cs="Calibri"/>
                <w:highlight w:val="yellow"/>
                <w:lang w:eastAsia="it-IT"/>
              </w:rPr>
              <w:t>febbraio 2007 (allegato n. 17 del presente C.C.N.L.).</w:t>
            </w:r>
          </w:p>
        </w:tc>
        <w:tc>
          <w:tcPr>
            <w:tcW w:w="2976" w:type="dxa"/>
          </w:tcPr>
          <w:p w14:paraId="2D9FDC7F" w14:textId="77777777" w:rsidR="0058760C" w:rsidRPr="001A3961" w:rsidRDefault="0058760C" w:rsidP="0058760C">
            <w:pPr>
              <w:jc w:val="both"/>
              <w:rPr>
                <w:rFonts w:cs="Calibri"/>
                <w:b/>
                <w:bCs/>
              </w:rPr>
            </w:pPr>
          </w:p>
        </w:tc>
      </w:tr>
      <w:tr w:rsidR="0058760C" w14:paraId="4762CA81" w14:textId="77777777" w:rsidTr="00AE470F">
        <w:trPr>
          <w:trHeight w:val="130"/>
        </w:trPr>
        <w:tc>
          <w:tcPr>
            <w:tcW w:w="1673" w:type="dxa"/>
          </w:tcPr>
          <w:p w14:paraId="28CFD307" w14:textId="77777777" w:rsidR="0058760C" w:rsidRPr="001A3961" w:rsidRDefault="0058760C" w:rsidP="0058760C">
            <w:pPr>
              <w:jc w:val="center"/>
              <w:rPr>
                <w:rFonts w:cs="Calibri"/>
                <w:b/>
                <w:bCs/>
              </w:rPr>
            </w:pPr>
            <w:r w:rsidRPr="001A3961">
              <w:rPr>
                <w:rFonts w:cs="Calibri"/>
                <w:b/>
                <w:bCs/>
              </w:rPr>
              <w:t xml:space="preserve">Sanità integrativa </w:t>
            </w:r>
          </w:p>
        </w:tc>
        <w:tc>
          <w:tcPr>
            <w:tcW w:w="1276" w:type="dxa"/>
          </w:tcPr>
          <w:p w14:paraId="47DF6C0A" w14:textId="77777777" w:rsidR="0058760C" w:rsidRPr="001A3961" w:rsidRDefault="0058760C" w:rsidP="0058760C">
            <w:pPr>
              <w:pStyle w:val="Default"/>
              <w:jc w:val="center"/>
              <w:rPr>
                <w:rFonts w:ascii="Calibri" w:hAnsi="Calibri" w:cs="Calibri"/>
              </w:rPr>
            </w:pPr>
            <w:r w:rsidRPr="001A3961">
              <w:rPr>
                <w:sz w:val="40"/>
                <w:szCs w:val="40"/>
              </w:rPr>
              <w:sym w:font="Wingdings 2" w:char="F0A3"/>
            </w:r>
          </w:p>
        </w:tc>
        <w:tc>
          <w:tcPr>
            <w:tcW w:w="3373" w:type="dxa"/>
          </w:tcPr>
          <w:p w14:paraId="614093D2" w14:textId="77777777" w:rsidR="0058760C" w:rsidRPr="001A3961" w:rsidRDefault="0058760C" w:rsidP="0058760C">
            <w:pPr>
              <w:pStyle w:val="Default"/>
              <w:jc w:val="center"/>
              <w:rPr>
                <w:rFonts w:ascii="Calibri" w:hAnsi="Calibri" w:cs="Calibri"/>
              </w:rPr>
            </w:pPr>
          </w:p>
        </w:tc>
        <w:tc>
          <w:tcPr>
            <w:tcW w:w="6550" w:type="dxa"/>
          </w:tcPr>
          <w:p w14:paraId="0573D77A" w14:textId="77777777" w:rsidR="00193AC0" w:rsidRPr="00193AC0" w:rsidRDefault="00193AC0" w:rsidP="00993D73">
            <w:pPr>
              <w:jc w:val="both"/>
              <w:rPr>
                <w:rFonts w:cs="Calibri"/>
                <w:b/>
                <w:bCs/>
              </w:rPr>
            </w:pPr>
          </w:p>
        </w:tc>
        <w:tc>
          <w:tcPr>
            <w:tcW w:w="2976" w:type="dxa"/>
          </w:tcPr>
          <w:p w14:paraId="481E2448" w14:textId="77777777" w:rsidR="0058760C" w:rsidRPr="001A3961" w:rsidRDefault="0058760C" w:rsidP="0058760C">
            <w:pPr>
              <w:jc w:val="both"/>
              <w:rPr>
                <w:rFonts w:cs="Calibri"/>
                <w:b/>
                <w:bCs/>
              </w:rPr>
            </w:pPr>
          </w:p>
        </w:tc>
      </w:tr>
      <w:bookmarkEnd w:id="0"/>
    </w:tbl>
    <w:p w14:paraId="33FF835E" w14:textId="77777777" w:rsidR="0053585D" w:rsidRDefault="0053585D" w:rsidP="00A26EFA">
      <w:pPr>
        <w:jc w:val="both"/>
        <w:rPr>
          <w:rFonts w:ascii="Garamond" w:hAnsi="Garamond"/>
          <w:b/>
          <w:i/>
        </w:rPr>
      </w:pPr>
    </w:p>
    <w:p w14:paraId="6C5F7215" w14:textId="77777777" w:rsidR="0053585D" w:rsidRDefault="0053585D" w:rsidP="00A26EFA">
      <w:pPr>
        <w:jc w:val="both"/>
      </w:pPr>
      <w:r>
        <w:t>** Si precisa che, come previsto dall’art. 4 co. 4 dell’allegato I.01 al Codice, come introdotto dal D. lgs. 209 del 31.12.2024, si ha equivalenza di tutele normative qualora gli scostamenti rispetto ai parametri di cui sopra s</w:t>
      </w:r>
      <w:r w:rsidR="00CC0DBF">
        <w:t>ia</w:t>
      </w:r>
      <w:r>
        <w:t xml:space="preserve">no marginali. </w:t>
      </w:r>
    </w:p>
    <w:p w14:paraId="24A86DAA" w14:textId="77777777" w:rsidR="000036EB" w:rsidRPr="00A26EFA" w:rsidRDefault="00472812" w:rsidP="00A26EFA">
      <w:pPr>
        <w:jc w:val="both"/>
        <w:rPr>
          <w:b/>
          <w:sz w:val="28"/>
          <w:szCs w:val="28"/>
          <w:u w:val="single"/>
        </w:rPr>
      </w:pPr>
      <w:r w:rsidRPr="000036EB">
        <w:rPr>
          <w:b/>
          <w:sz w:val="28"/>
          <w:szCs w:val="28"/>
          <w:u w:val="single"/>
        </w:rPr>
        <w:t>Il concorrente allega copia del CCNL applicato.</w:t>
      </w:r>
    </w:p>
    <w:p w14:paraId="6C83EB19" w14:textId="77777777" w:rsidR="000036EB" w:rsidRDefault="000036EB" w:rsidP="00635FC3">
      <w:pPr>
        <w:autoSpaceDE w:val="0"/>
        <w:autoSpaceDN w:val="0"/>
        <w:adjustRightInd w:val="0"/>
        <w:ind w:left="5664" w:firstLine="708"/>
        <w:jc w:val="both"/>
        <w:rPr>
          <w:rFonts w:ascii="Garamond" w:hAnsi="Garamond"/>
        </w:rPr>
      </w:pPr>
    </w:p>
    <w:p w14:paraId="1BDEFDD8" w14:textId="77777777" w:rsidR="00635FC3" w:rsidRPr="003936C7" w:rsidRDefault="00145183" w:rsidP="00A26EFA">
      <w:pPr>
        <w:autoSpaceDE w:val="0"/>
        <w:autoSpaceDN w:val="0"/>
        <w:adjustRightInd w:val="0"/>
        <w:ind w:left="7788" w:firstLine="708"/>
        <w:jc w:val="both"/>
        <w:rPr>
          <w:rFonts w:ascii="Garamond" w:hAnsi="Garamond"/>
        </w:rPr>
      </w:pPr>
      <w:r>
        <w:rPr>
          <w:rFonts w:ascii="Garamond" w:hAnsi="Garamond"/>
        </w:rPr>
        <w:t>Il legale rappresentante</w:t>
      </w:r>
      <w:r w:rsidR="00A26EFA">
        <w:rPr>
          <w:rFonts w:ascii="Garamond" w:hAnsi="Garamond"/>
        </w:rPr>
        <w:t xml:space="preserve"> (</w:t>
      </w:r>
      <w:r w:rsidR="00355E79">
        <w:rPr>
          <w:rFonts w:ascii="Garamond" w:hAnsi="Garamond"/>
        </w:rPr>
        <w:t>f</w:t>
      </w:r>
      <w:r w:rsidR="00635FC3" w:rsidRPr="003936C7">
        <w:rPr>
          <w:rFonts w:ascii="Garamond" w:hAnsi="Garamond"/>
        </w:rPr>
        <w:t>irma</w:t>
      </w:r>
      <w:r>
        <w:rPr>
          <w:rFonts w:ascii="Garamond" w:hAnsi="Garamond"/>
        </w:rPr>
        <w:t>to</w:t>
      </w:r>
      <w:r w:rsidR="00635FC3">
        <w:rPr>
          <w:rFonts w:ascii="Garamond" w:hAnsi="Garamond"/>
        </w:rPr>
        <w:t xml:space="preserve"> digital</w:t>
      </w:r>
      <w:r>
        <w:rPr>
          <w:rFonts w:ascii="Garamond" w:hAnsi="Garamond"/>
        </w:rPr>
        <w:t>mente</w:t>
      </w:r>
      <w:r w:rsidR="00A26EFA">
        <w:rPr>
          <w:rFonts w:ascii="Garamond" w:hAnsi="Garamond"/>
        </w:rPr>
        <w:t>)</w:t>
      </w:r>
    </w:p>
    <w:p w14:paraId="54BD0057" w14:textId="77777777" w:rsidR="00DF0BC9" w:rsidRPr="00A26EFA" w:rsidRDefault="00635FC3" w:rsidP="00A26EFA">
      <w:pPr>
        <w:autoSpaceDE w:val="0"/>
        <w:autoSpaceDN w:val="0"/>
        <w:adjustRightInd w:val="0"/>
        <w:ind w:left="4828"/>
        <w:jc w:val="both"/>
        <w:rPr>
          <w:rFonts w:ascii="Garamond" w:hAnsi="Garamond"/>
        </w:rPr>
      </w:pPr>
      <w:r w:rsidRPr="003936C7">
        <w:rPr>
          <w:rFonts w:ascii="Garamond" w:hAnsi="Garamond"/>
        </w:rPr>
        <w:tab/>
      </w:r>
      <w:r w:rsidRPr="003936C7">
        <w:rPr>
          <w:rFonts w:ascii="Garamond" w:hAnsi="Garamond"/>
        </w:rPr>
        <w:tab/>
      </w:r>
      <w:r w:rsidRPr="003936C7">
        <w:rPr>
          <w:rFonts w:ascii="Garamond" w:hAnsi="Garamond"/>
        </w:rPr>
        <w:tab/>
      </w:r>
      <w:r w:rsidRPr="003936C7">
        <w:rPr>
          <w:rFonts w:ascii="Garamond" w:hAnsi="Garamond"/>
        </w:rPr>
        <w:tab/>
      </w:r>
      <w:r w:rsidRPr="003936C7">
        <w:rPr>
          <w:rFonts w:ascii="Garamond" w:hAnsi="Garamond"/>
        </w:rPr>
        <w:tab/>
      </w:r>
      <w:r w:rsidRPr="003936C7">
        <w:rPr>
          <w:rFonts w:ascii="Garamond" w:hAnsi="Garamond"/>
        </w:rPr>
        <w:tab/>
      </w:r>
      <w:r w:rsidRPr="003936C7">
        <w:rPr>
          <w:rFonts w:ascii="Garamond" w:hAnsi="Garamond"/>
        </w:rPr>
        <w:tab/>
      </w:r>
      <w:r w:rsidRPr="003936C7">
        <w:rPr>
          <w:rFonts w:ascii="Garamond" w:hAnsi="Garamond"/>
        </w:rPr>
        <w:tab/>
        <w:t xml:space="preserve">        </w:t>
      </w:r>
    </w:p>
    <w:sectPr w:rsidR="00DF0BC9" w:rsidRPr="00A26EFA" w:rsidSect="00AE470F">
      <w:headerReference w:type="default" r:id="rId8"/>
      <w:pgSz w:w="16838" w:h="11906" w:orient="landscape"/>
      <w:pgMar w:top="3012"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68435" w14:textId="77777777" w:rsidR="006C7344" w:rsidRDefault="006C7344" w:rsidP="00D977A4">
      <w:pPr>
        <w:spacing w:after="0" w:line="240" w:lineRule="auto"/>
      </w:pPr>
      <w:r>
        <w:separator/>
      </w:r>
    </w:p>
  </w:endnote>
  <w:endnote w:type="continuationSeparator" w:id="0">
    <w:p w14:paraId="39CD3812" w14:textId="77777777" w:rsidR="006C7344" w:rsidRDefault="006C7344" w:rsidP="00D97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6EF63" w14:textId="77777777" w:rsidR="006C7344" w:rsidRDefault="006C7344" w:rsidP="00D977A4">
      <w:pPr>
        <w:spacing w:after="0" w:line="240" w:lineRule="auto"/>
      </w:pPr>
      <w:r>
        <w:separator/>
      </w:r>
    </w:p>
  </w:footnote>
  <w:footnote w:type="continuationSeparator" w:id="0">
    <w:p w14:paraId="15648F5A" w14:textId="77777777" w:rsidR="006C7344" w:rsidRDefault="006C7344" w:rsidP="00D97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A376" w14:textId="77777777" w:rsidR="005432E0" w:rsidRPr="00C30568" w:rsidRDefault="005432E0" w:rsidP="0000623B">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0408"/>
    <w:multiLevelType w:val="multilevel"/>
    <w:tmpl w:val="D08E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A60644"/>
    <w:multiLevelType w:val="hybridMultilevel"/>
    <w:tmpl w:val="38883BAA"/>
    <w:lvl w:ilvl="0" w:tplc="A1F0FE36">
      <w:start w:val="1"/>
      <w:numFmt w:val="bullet"/>
      <w:lvlText w:val=""/>
      <w:lvlJc w:val="left"/>
      <w:pPr>
        <w:ind w:left="720" w:hanging="360"/>
      </w:pPr>
      <w:rPr>
        <w:rFonts w:ascii="Symbol" w:hAnsi="Symbo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4D5E4D"/>
    <w:multiLevelType w:val="hybridMultilevel"/>
    <w:tmpl w:val="30487F62"/>
    <w:lvl w:ilvl="0" w:tplc="447822B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B24638"/>
    <w:multiLevelType w:val="multilevel"/>
    <w:tmpl w:val="3530E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E54A95"/>
    <w:multiLevelType w:val="multilevel"/>
    <w:tmpl w:val="0642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953A92"/>
    <w:multiLevelType w:val="hybridMultilevel"/>
    <w:tmpl w:val="C4126226"/>
    <w:lvl w:ilvl="0" w:tplc="4B94C2D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010271"/>
    <w:multiLevelType w:val="hybridMultilevel"/>
    <w:tmpl w:val="3B2EAB66"/>
    <w:lvl w:ilvl="0" w:tplc="F7F065A8">
      <w:start w:val="1"/>
      <w:numFmt w:val="lowerLetter"/>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8224013"/>
    <w:multiLevelType w:val="multilevel"/>
    <w:tmpl w:val="D438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4240D3"/>
    <w:multiLevelType w:val="multilevel"/>
    <w:tmpl w:val="27F0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6352E3"/>
    <w:multiLevelType w:val="multilevel"/>
    <w:tmpl w:val="23863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8E5685"/>
    <w:multiLevelType w:val="hybridMultilevel"/>
    <w:tmpl w:val="0B46C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7AC183A"/>
    <w:multiLevelType w:val="multilevel"/>
    <w:tmpl w:val="17E2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D4717F"/>
    <w:multiLevelType w:val="hybridMultilevel"/>
    <w:tmpl w:val="B6D473B4"/>
    <w:lvl w:ilvl="0" w:tplc="A1F0FE36">
      <w:start w:val="1"/>
      <w:numFmt w:val="bullet"/>
      <w:lvlText w:val=""/>
      <w:lvlJc w:val="left"/>
      <w:pPr>
        <w:ind w:left="720" w:hanging="360"/>
      </w:pPr>
      <w:rPr>
        <w:rFonts w:ascii="Symbol" w:hAnsi="Symbo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47361CD"/>
    <w:multiLevelType w:val="multilevel"/>
    <w:tmpl w:val="74AC4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5566099">
    <w:abstractNumId w:val="6"/>
  </w:num>
  <w:num w:numId="2" w16cid:durableId="1007901014">
    <w:abstractNumId w:val="5"/>
  </w:num>
  <w:num w:numId="3" w16cid:durableId="89855864">
    <w:abstractNumId w:val="10"/>
  </w:num>
  <w:num w:numId="4" w16cid:durableId="4211607">
    <w:abstractNumId w:val="11"/>
  </w:num>
  <w:num w:numId="5" w16cid:durableId="695891725">
    <w:abstractNumId w:val="12"/>
  </w:num>
  <w:num w:numId="6" w16cid:durableId="211158622">
    <w:abstractNumId w:val="1"/>
  </w:num>
  <w:num w:numId="7" w16cid:durableId="1692103557">
    <w:abstractNumId w:val="4"/>
  </w:num>
  <w:num w:numId="8" w16cid:durableId="1963607186">
    <w:abstractNumId w:val="3"/>
  </w:num>
  <w:num w:numId="9" w16cid:durableId="1292589415">
    <w:abstractNumId w:val="9"/>
  </w:num>
  <w:num w:numId="10" w16cid:durableId="178085932">
    <w:abstractNumId w:val="13"/>
  </w:num>
  <w:num w:numId="11" w16cid:durableId="1272325715">
    <w:abstractNumId w:val="0"/>
  </w:num>
  <w:num w:numId="12" w16cid:durableId="1999528961">
    <w:abstractNumId w:val="7"/>
  </w:num>
  <w:num w:numId="13" w16cid:durableId="1465585973">
    <w:abstractNumId w:val="8"/>
  </w:num>
  <w:num w:numId="14" w16cid:durableId="1323047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1A"/>
    <w:rsid w:val="000036EB"/>
    <w:rsid w:val="0000623B"/>
    <w:rsid w:val="00024E97"/>
    <w:rsid w:val="000253C0"/>
    <w:rsid w:val="00054031"/>
    <w:rsid w:val="0006075E"/>
    <w:rsid w:val="000802B5"/>
    <w:rsid w:val="00080B52"/>
    <w:rsid w:val="00086287"/>
    <w:rsid w:val="0009494A"/>
    <w:rsid w:val="000A0BF5"/>
    <w:rsid w:val="000A6092"/>
    <w:rsid w:val="000A71BA"/>
    <w:rsid w:val="000C070F"/>
    <w:rsid w:val="000C29BA"/>
    <w:rsid w:val="000E3C3A"/>
    <w:rsid w:val="00100854"/>
    <w:rsid w:val="001369B5"/>
    <w:rsid w:val="00145183"/>
    <w:rsid w:val="00166126"/>
    <w:rsid w:val="00187A96"/>
    <w:rsid w:val="001925C5"/>
    <w:rsid w:val="00193AC0"/>
    <w:rsid w:val="0019710B"/>
    <w:rsid w:val="001A3961"/>
    <w:rsid w:val="00202277"/>
    <w:rsid w:val="00213B41"/>
    <w:rsid w:val="00217956"/>
    <w:rsid w:val="00222B21"/>
    <w:rsid w:val="00243E30"/>
    <w:rsid w:val="002501D4"/>
    <w:rsid w:val="00255B7A"/>
    <w:rsid w:val="00296638"/>
    <w:rsid w:val="002A19A2"/>
    <w:rsid w:val="002B5FBD"/>
    <w:rsid w:val="002C2185"/>
    <w:rsid w:val="002D61FC"/>
    <w:rsid w:val="002F338F"/>
    <w:rsid w:val="002F5C08"/>
    <w:rsid w:val="00322AEF"/>
    <w:rsid w:val="003502EE"/>
    <w:rsid w:val="00353F7A"/>
    <w:rsid w:val="00355E79"/>
    <w:rsid w:val="00357AF7"/>
    <w:rsid w:val="00383B7F"/>
    <w:rsid w:val="003941D0"/>
    <w:rsid w:val="00395428"/>
    <w:rsid w:val="003B77CB"/>
    <w:rsid w:val="003E1D4C"/>
    <w:rsid w:val="003E4E7F"/>
    <w:rsid w:val="003F00F9"/>
    <w:rsid w:val="003F248B"/>
    <w:rsid w:val="00430842"/>
    <w:rsid w:val="004632D2"/>
    <w:rsid w:val="00472812"/>
    <w:rsid w:val="00477A22"/>
    <w:rsid w:val="004817A7"/>
    <w:rsid w:val="004820B8"/>
    <w:rsid w:val="0048252B"/>
    <w:rsid w:val="00493685"/>
    <w:rsid w:val="004A3CE3"/>
    <w:rsid w:val="004D2118"/>
    <w:rsid w:val="004E0177"/>
    <w:rsid w:val="004F54B8"/>
    <w:rsid w:val="005115EB"/>
    <w:rsid w:val="00515E14"/>
    <w:rsid w:val="0053585D"/>
    <w:rsid w:val="005432E0"/>
    <w:rsid w:val="00550E63"/>
    <w:rsid w:val="00562156"/>
    <w:rsid w:val="0058760C"/>
    <w:rsid w:val="00592158"/>
    <w:rsid w:val="005B0E73"/>
    <w:rsid w:val="005B18FF"/>
    <w:rsid w:val="005D0E8B"/>
    <w:rsid w:val="005D3B3B"/>
    <w:rsid w:val="005D5A05"/>
    <w:rsid w:val="005E10E4"/>
    <w:rsid w:val="005E4B9E"/>
    <w:rsid w:val="006065AC"/>
    <w:rsid w:val="006219E3"/>
    <w:rsid w:val="00634984"/>
    <w:rsid w:val="00635FC3"/>
    <w:rsid w:val="0065124F"/>
    <w:rsid w:val="00657BBF"/>
    <w:rsid w:val="00662AB8"/>
    <w:rsid w:val="006638C6"/>
    <w:rsid w:val="006668DF"/>
    <w:rsid w:val="006818A6"/>
    <w:rsid w:val="00684626"/>
    <w:rsid w:val="006A6F84"/>
    <w:rsid w:val="006C437D"/>
    <w:rsid w:val="006C7344"/>
    <w:rsid w:val="006E1121"/>
    <w:rsid w:val="006E4C3D"/>
    <w:rsid w:val="0070292D"/>
    <w:rsid w:val="00705136"/>
    <w:rsid w:val="0071655C"/>
    <w:rsid w:val="00717C00"/>
    <w:rsid w:val="00717FA0"/>
    <w:rsid w:val="00741275"/>
    <w:rsid w:val="007C03C5"/>
    <w:rsid w:val="007D2644"/>
    <w:rsid w:val="007D345D"/>
    <w:rsid w:val="007D5ADA"/>
    <w:rsid w:val="007F0E0D"/>
    <w:rsid w:val="007F2933"/>
    <w:rsid w:val="007F293D"/>
    <w:rsid w:val="00827457"/>
    <w:rsid w:val="00827A59"/>
    <w:rsid w:val="00846E9D"/>
    <w:rsid w:val="00851AD4"/>
    <w:rsid w:val="00856F82"/>
    <w:rsid w:val="0088615C"/>
    <w:rsid w:val="008861DC"/>
    <w:rsid w:val="008A00AE"/>
    <w:rsid w:val="008A26DC"/>
    <w:rsid w:val="008A451A"/>
    <w:rsid w:val="008A66F7"/>
    <w:rsid w:val="008C1144"/>
    <w:rsid w:val="008C7F72"/>
    <w:rsid w:val="008D4511"/>
    <w:rsid w:val="008E5268"/>
    <w:rsid w:val="00904D28"/>
    <w:rsid w:val="00922BD7"/>
    <w:rsid w:val="00933B83"/>
    <w:rsid w:val="00973391"/>
    <w:rsid w:val="00977A07"/>
    <w:rsid w:val="00993D73"/>
    <w:rsid w:val="00996745"/>
    <w:rsid w:val="009A6536"/>
    <w:rsid w:val="009C6314"/>
    <w:rsid w:val="009C71C4"/>
    <w:rsid w:val="009D1E36"/>
    <w:rsid w:val="009E3004"/>
    <w:rsid w:val="009F42D2"/>
    <w:rsid w:val="00A02AE8"/>
    <w:rsid w:val="00A113EE"/>
    <w:rsid w:val="00A26EFA"/>
    <w:rsid w:val="00A27794"/>
    <w:rsid w:val="00A933B2"/>
    <w:rsid w:val="00AA2584"/>
    <w:rsid w:val="00AA5D54"/>
    <w:rsid w:val="00AA6FA2"/>
    <w:rsid w:val="00AC294B"/>
    <w:rsid w:val="00AC6F59"/>
    <w:rsid w:val="00AD60A5"/>
    <w:rsid w:val="00AD6FE1"/>
    <w:rsid w:val="00AE3483"/>
    <w:rsid w:val="00AE470F"/>
    <w:rsid w:val="00B2072E"/>
    <w:rsid w:val="00B54848"/>
    <w:rsid w:val="00BA4E1C"/>
    <w:rsid w:val="00BB65F5"/>
    <w:rsid w:val="00BB70E2"/>
    <w:rsid w:val="00BC0A0D"/>
    <w:rsid w:val="00BD1F01"/>
    <w:rsid w:val="00BD586B"/>
    <w:rsid w:val="00BE346F"/>
    <w:rsid w:val="00C0409D"/>
    <w:rsid w:val="00C14447"/>
    <w:rsid w:val="00C1496E"/>
    <w:rsid w:val="00C2194E"/>
    <w:rsid w:val="00C26694"/>
    <w:rsid w:val="00C30568"/>
    <w:rsid w:val="00C525F0"/>
    <w:rsid w:val="00C7397C"/>
    <w:rsid w:val="00C83A8F"/>
    <w:rsid w:val="00C9486B"/>
    <w:rsid w:val="00CA193C"/>
    <w:rsid w:val="00CA1B6C"/>
    <w:rsid w:val="00CC0DBF"/>
    <w:rsid w:val="00CC1793"/>
    <w:rsid w:val="00CC4A50"/>
    <w:rsid w:val="00CC4F3F"/>
    <w:rsid w:val="00CC6F7C"/>
    <w:rsid w:val="00CE5107"/>
    <w:rsid w:val="00D12328"/>
    <w:rsid w:val="00D16A2C"/>
    <w:rsid w:val="00D30E45"/>
    <w:rsid w:val="00D350A4"/>
    <w:rsid w:val="00D42702"/>
    <w:rsid w:val="00D56428"/>
    <w:rsid w:val="00D9578F"/>
    <w:rsid w:val="00D977A4"/>
    <w:rsid w:val="00DA6D7C"/>
    <w:rsid w:val="00DA6EF4"/>
    <w:rsid w:val="00DB2C97"/>
    <w:rsid w:val="00DF0BC9"/>
    <w:rsid w:val="00DF645D"/>
    <w:rsid w:val="00DF7DE6"/>
    <w:rsid w:val="00E04ADB"/>
    <w:rsid w:val="00E225CF"/>
    <w:rsid w:val="00E87C19"/>
    <w:rsid w:val="00EA7728"/>
    <w:rsid w:val="00EB55B7"/>
    <w:rsid w:val="00EC13C6"/>
    <w:rsid w:val="00ED33A0"/>
    <w:rsid w:val="00EE1FC5"/>
    <w:rsid w:val="00F0490D"/>
    <w:rsid w:val="00F34EA1"/>
    <w:rsid w:val="00F70EA0"/>
    <w:rsid w:val="00F80655"/>
    <w:rsid w:val="00F82EFF"/>
    <w:rsid w:val="00F83527"/>
    <w:rsid w:val="00F85BE0"/>
    <w:rsid w:val="00FA3980"/>
    <w:rsid w:val="00FA6F1D"/>
    <w:rsid w:val="00FC385F"/>
    <w:rsid w:val="00FC59B8"/>
    <w:rsid w:val="00FD0ED3"/>
    <w:rsid w:val="00FD6D54"/>
    <w:rsid w:val="00FE2BB5"/>
    <w:rsid w:val="00FE35E9"/>
    <w:rsid w:val="00FE3856"/>
    <w:rsid w:val="00FE6C1D"/>
    <w:rsid w:val="00FF1A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91FAA"/>
  <w15:docId w15:val="{F72FDE22-6C3B-4662-997F-69E4326D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Titolo2"/>
    <w:link w:val="Titolo1Carattere"/>
    <w:qFormat/>
    <w:rsid w:val="00255B7A"/>
    <w:pPr>
      <w:keepNext/>
      <w:keepLines/>
      <w:spacing w:before="280" w:after="280" w:line="276" w:lineRule="auto"/>
      <w:jc w:val="center"/>
      <w:outlineLvl w:val="0"/>
    </w:pPr>
    <w:rPr>
      <w:rFonts w:ascii="Garamond" w:hAnsi="Garamond"/>
      <w:b/>
      <w:bCs/>
      <w:sz w:val="28"/>
      <w:szCs w:val="28"/>
      <w:lang w:val="x-none" w:eastAsia="x-none"/>
    </w:rPr>
  </w:style>
  <w:style w:type="paragraph" w:styleId="Titolo2">
    <w:name w:val="heading 2"/>
    <w:basedOn w:val="Normale"/>
    <w:next w:val="Normale"/>
    <w:link w:val="Titolo2Carattere"/>
    <w:uiPriority w:val="9"/>
    <w:semiHidden/>
    <w:unhideWhenUsed/>
    <w:qFormat/>
    <w:rsid w:val="00255B7A"/>
    <w:pPr>
      <w:keepNext/>
      <w:spacing w:before="240" w:after="60"/>
      <w:outlineLvl w:val="1"/>
    </w:pPr>
    <w:rPr>
      <w:rFonts w:ascii="Calibri Light" w:eastAsia="Times New Roman" w:hAnsi="Calibri Light"/>
      <w:b/>
      <w:bCs/>
      <w:i/>
      <w:iCs/>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977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77A4"/>
  </w:style>
  <w:style w:type="paragraph" w:styleId="Pidipagina">
    <w:name w:val="footer"/>
    <w:basedOn w:val="Normale"/>
    <w:link w:val="PidipaginaCarattere"/>
    <w:uiPriority w:val="99"/>
    <w:unhideWhenUsed/>
    <w:rsid w:val="00D977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77A4"/>
  </w:style>
  <w:style w:type="paragraph" w:styleId="Testofumetto">
    <w:name w:val="Balloon Text"/>
    <w:basedOn w:val="Normale"/>
    <w:link w:val="TestofumettoCarattere"/>
    <w:uiPriority w:val="99"/>
    <w:semiHidden/>
    <w:unhideWhenUsed/>
    <w:rsid w:val="005D3B3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5D3B3B"/>
    <w:rPr>
      <w:rFonts w:ascii="Tahoma" w:hAnsi="Tahoma" w:cs="Tahoma"/>
      <w:sz w:val="16"/>
      <w:szCs w:val="16"/>
    </w:rPr>
  </w:style>
  <w:style w:type="character" w:styleId="Enfasigrassetto">
    <w:name w:val="Strong"/>
    <w:uiPriority w:val="22"/>
    <w:qFormat/>
    <w:rsid w:val="00DB2C97"/>
    <w:rPr>
      <w:rFonts w:ascii="Times New Roman" w:hAnsi="Times New Roman" w:cs="Times New Roman" w:hint="default"/>
      <w:b/>
      <w:bCs/>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5B18FF"/>
    <w:pPr>
      <w:spacing w:after="0" w:line="240" w:lineRule="auto"/>
      <w:ind w:left="720"/>
      <w:contextualSpacing/>
    </w:pPr>
    <w:rPr>
      <w:rFonts w:cs="Arial"/>
      <w:sz w:val="24"/>
      <w:szCs w:val="24"/>
    </w:rPr>
  </w:style>
  <w:style w:type="character" w:styleId="Rimandocommento">
    <w:name w:val="annotation reference"/>
    <w:qFormat/>
    <w:rsid w:val="005B18FF"/>
    <w:rPr>
      <w:sz w:val="16"/>
      <w:szCs w:val="16"/>
    </w:rPr>
  </w:style>
  <w:style w:type="paragraph" w:customStyle="1" w:styleId="Default">
    <w:name w:val="Default"/>
    <w:qFormat/>
    <w:rsid w:val="005B18FF"/>
    <w:pPr>
      <w:widowControl w:val="0"/>
      <w:spacing w:line="276" w:lineRule="auto"/>
      <w:jc w:val="both"/>
    </w:pPr>
    <w:rPr>
      <w:rFonts w:ascii="Book-Antiqua,Bold" w:hAnsi="Book-Antiqua,Bold" w:cs="Book-Antiqua,Bold"/>
      <w:color w:val="000000"/>
      <w:sz w:val="24"/>
      <w:szCs w:val="24"/>
    </w:rPr>
  </w:style>
  <w:style w:type="paragraph" w:styleId="Testocommento">
    <w:name w:val="annotation text"/>
    <w:basedOn w:val="Normale"/>
    <w:link w:val="TestocommentoCarattere1"/>
    <w:qFormat/>
    <w:rsid w:val="005B18FF"/>
    <w:pPr>
      <w:spacing w:after="0" w:line="276" w:lineRule="auto"/>
      <w:jc w:val="both"/>
    </w:pPr>
    <w:rPr>
      <w:rFonts w:ascii="Garamond" w:eastAsia="Times New Roman" w:hAnsi="Garamond"/>
      <w:sz w:val="20"/>
      <w:szCs w:val="20"/>
      <w:lang w:val="x-none"/>
    </w:rPr>
  </w:style>
  <w:style w:type="character" w:customStyle="1" w:styleId="TestocommentoCarattere">
    <w:name w:val="Testo commento Carattere"/>
    <w:uiPriority w:val="99"/>
    <w:semiHidden/>
    <w:rsid w:val="005B18FF"/>
    <w:rPr>
      <w:lang w:eastAsia="en-US"/>
    </w:rPr>
  </w:style>
  <w:style w:type="character" w:customStyle="1" w:styleId="TestocommentoCarattere1">
    <w:name w:val="Testo commento Carattere1"/>
    <w:link w:val="Testocommento"/>
    <w:rsid w:val="005B18FF"/>
    <w:rPr>
      <w:rFonts w:ascii="Garamond" w:eastAsia="Times New Roman" w:hAnsi="Garamond"/>
      <w:lang w:val="x-none" w:eastAsia="en-US"/>
    </w:rPr>
  </w:style>
  <w:style w:type="table" w:styleId="Grigliatabella">
    <w:name w:val="Table Grid"/>
    <w:basedOn w:val="Tabellanormale"/>
    <w:uiPriority w:val="39"/>
    <w:rsid w:val="005B1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uiPriority w:val="99"/>
    <w:semiHidden/>
    <w:unhideWhenUsed/>
    <w:rsid w:val="000A0BF5"/>
    <w:pPr>
      <w:spacing w:after="160" w:line="259" w:lineRule="auto"/>
      <w:jc w:val="left"/>
    </w:pPr>
    <w:rPr>
      <w:rFonts w:ascii="Calibri" w:eastAsia="Calibri" w:hAnsi="Calibri"/>
      <w:b/>
      <w:bCs/>
      <w:lang w:val="it-IT"/>
    </w:rPr>
  </w:style>
  <w:style w:type="character" w:customStyle="1" w:styleId="SoggettocommentoCarattere">
    <w:name w:val="Soggetto commento Carattere"/>
    <w:link w:val="Soggettocommento"/>
    <w:uiPriority w:val="99"/>
    <w:semiHidden/>
    <w:rsid w:val="000A0BF5"/>
    <w:rPr>
      <w:rFonts w:ascii="Garamond" w:eastAsia="Times New Roman" w:hAnsi="Garamond"/>
      <w:b/>
      <w:bCs/>
      <w:lang w:val="x-none" w:eastAsia="en-US"/>
    </w:rPr>
  </w:style>
  <w:style w:type="paragraph" w:styleId="Revisione">
    <w:name w:val="Revision"/>
    <w:hidden/>
    <w:uiPriority w:val="99"/>
    <w:semiHidden/>
    <w:rsid w:val="00592158"/>
    <w:rPr>
      <w:sz w:val="22"/>
      <w:szCs w:val="22"/>
      <w:lang w:eastAsia="en-US"/>
    </w:rPr>
  </w:style>
  <w:style w:type="character" w:customStyle="1" w:styleId="Titolo1Carattere">
    <w:name w:val="Titolo 1 Carattere"/>
    <w:link w:val="Titolo1"/>
    <w:qFormat/>
    <w:rsid w:val="00255B7A"/>
    <w:rPr>
      <w:rFonts w:ascii="Garamond" w:hAnsi="Garamond"/>
      <w:b/>
      <w:bCs/>
      <w:sz w:val="28"/>
      <w:szCs w:val="28"/>
      <w:lang w:val="x-none" w:eastAsia="x-none"/>
    </w:rPr>
  </w:style>
  <w:style w:type="character" w:customStyle="1" w:styleId="Titolo2Carattere">
    <w:name w:val="Titolo 2 Carattere"/>
    <w:link w:val="Titolo2"/>
    <w:uiPriority w:val="9"/>
    <w:semiHidden/>
    <w:rsid w:val="00255B7A"/>
    <w:rPr>
      <w:rFonts w:ascii="Calibri Light" w:eastAsia="Times New Roman" w:hAnsi="Calibri Light"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0151">
      <w:bodyDiv w:val="1"/>
      <w:marLeft w:val="0"/>
      <w:marRight w:val="0"/>
      <w:marTop w:val="0"/>
      <w:marBottom w:val="0"/>
      <w:divBdr>
        <w:top w:val="none" w:sz="0" w:space="0" w:color="auto"/>
        <w:left w:val="none" w:sz="0" w:space="0" w:color="auto"/>
        <w:bottom w:val="none" w:sz="0" w:space="0" w:color="auto"/>
        <w:right w:val="none" w:sz="0" w:space="0" w:color="auto"/>
      </w:divBdr>
    </w:div>
    <w:div w:id="119226457">
      <w:bodyDiv w:val="1"/>
      <w:marLeft w:val="0"/>
      <w:marRight w:val="0"/>
      <w:marTop w:val="0"/>
      <w:marBottom w:val="0"/>
      <w:divBdr>
        <w:top w:val="none" w:sz="0" w:space="0" w:color="auto"/>
        <w:left w:val="none" w:sz="0" w:space="0" w:color="auto"/>
        <w:bottom w:val="none" w:sz="0" w:space="0" w:color="auto"/>
        <w:right w:val="none" w:sz="0" w:space="0" w:color="auto"/>
      </w:divBdr>
    </w:div>
    <w:div w:id="128667736">
      <w:bodyDiv w:val="1"/>
      <w:marLeft w:val="0"/>
      <w:marRight w:val="0"/>
      <w:marTop w:val="0"/>
      <w:marBottom w:val="0"/>
      <w:divBdr>
        <w:top w:val="none" w:sz="0" w:space="0" w:color="auto"/>
        <w:left w:val="none" w:sz="0" w:space="0" w:color="auto"/>
        <w:bottom w:val="none" w:sz="0" w:space="0" w:color="auto"/>
        <w:right w:val="none" w:sz="0" w:space="0" w:color="auto"/>
      </w:divBdr>
    </w:div>
    <w:div w:id="129712974">
      <w:bodyDiv w:val="1"/>
      <w:marLeft w:val="0"/>
      <w:marRight w:val="0"/>
      <w:marTop w:val="0"/>
      <w:marBottom w:val="0"/>
      <w:divBdr>
        <w:top w:val="none" w:sz="0" w:space="0" w:color="auto"/>
        <w:left w:val="none" w:sz="0" w:space="0" w:color="auto"/>
        <w:bottom w:val="none" w:sz="0" w:space="0" w:color="auto"/>
        <w:right w:val="none" w:sz="0" w:space="0" w:color="auto"/>
      </w:divBdr>
    </w:div>
    <w:div w:id="146287187">
      <w:bodyDiv w:val="1"/>
      <w:marLeft w:val="0"/>
      <w:marRight w:val="0"/>
      <w:marTop w:val="0"/>
      <w:marBottom w:val="0"/>
      <w:divBdr>
        <w:top w:val="none" w:sz="0" w:space="0" w:color="auto"/>
        <w:left w:val="none" w:sz="0" w:space="0" w:color="auto"/>
        <w:bottom w:val="none" w:sz="0" w:space="0" w:color="auto"/>
        <w:right w:val="none" w:sz="0" w:space="0" w:color="auto"/>
      </w:divBdr>
    </w:div>
    <w:div w:id="146867806">
      <w:bodyDiv w:val="1"/>
      <w:marLeft w:val="0"/>
      <w:marRight w:val="0"/>
      <w:marTop w:val="0"/>
      <w:marBottom w:val="0"/>
      <w:divBdr>
        <w:top w:val="none" w:sz="0" w:space="0" w:color="auto"/>
        <w:left w:val="none" w:sz="0" w:space="0" w:color="auto"/>
        <w:bottom w:val="none" w:sz="0" w:space="0" w:color="auto"/>
        <w:right w:val="none" w:sz="0" w:space="0" w:color="auto"/>
      </w:divBdr>
    </w:div>
    <w:div w:id="168759580">
      <w:bodyDiv w:val="1"/>
      <w:marLeft w:val="0"/>
      <w:marRight w:val="0"/>
      <w:marTop w:val="0"/>
      <w:marBottom w:val="0"/>
      <w:divBdr>
        <w:top w:val="none" w:sz="0" w:space="0" w:color="auto"/>
        <w:left w:val="none" w:sz="0" w:space="0" w:color="auto"/>
        <w:bottom w:val="none" w:sz="0" w:space="0" w:color="auto"/>
        <w:right w:val="none" w:sz="0" w:space="0" w:color="auto"/>
      </w:divBdr>
    </w:div>
    <w:div w:id="238058716">
      <w:bodyDiv w:val="1"/>
      <w:marLeft w:val="0"/>
      <w:marRight w:val="0"/>
      <w:marTop w:val="0"/>
      <w:marBottom w:val="0"/>
      <w:divBdr>
        <w:top w:val="none" w:sz="0" w:space="0" w:color="auto"/>
        <w:left w:val="none" w:sz="0" w:space="0" w:color="auto"/>
        <w:bottom w:val="none" w:sz="0" w:space="0" w:color="auto"/>
        <w:right w:val="none" w:sz="0" w:space="0" w:color="auto"/>
      </w:divBdr>
    </w:div>
    <w:div w:id="297536941">
      <w:bodyDiv w:val="1"/>
      <w:marLeft w:val="0"/>
      <w:marRight w:val="0"/>
      <w:marTop w:val="0"/>
      <w:marBottom w:val="0"/>
      <w:divBdr>
        <w:top w:val="none" w:sz="0" w:space="0" w:color="auto"/>
        <w:left w:val="none" w:sz="0" w:space="0" w:color="auto"/>
        <w:bottom w:val="none" w:sz="0" w:space="0" w:color="auto"/>
        <w:right w:val="none" w:sz="0" w:space="0" w:color="auto"/>
      </w:divBdr>
    </w:div>
    <w:div w:id="326785778">
      <w:bodyDiv w:val="1"/>
      <w:marLeft w:val="0"/>
      <w:marRight w:val="0"/>
      <w:marTop w:val="0"/>
      <w:marBottom w:val="0"/>
      <w:divBdr>
        <w:top w:val="none" w:sz="0" w:space="0" w:color="auto"/>
        <w:left w:val="none" w:sz="0" w:space="0" w:color="auto"/>
        <w:bottom w:val="none" w:sz="0" w:space="0" w:color="auto"/>
        <w:right w:val="none" w:sz="0" w:space="0" w:color="auto"/>
      </w:divBdr>
    </w:div>
    <w:div w:id="328481103">
      <w:bodyDiv w:val="1"/>
      <w:marLeft w:val="0"/>
      <w:marRight w:val="0"/>
      <w:marTop w:val="0"/>
      <w:marBottom w:val="0"/>
      <w:divBdr>
        <w:top w:val="none" w:sz="0" w:space="0" w:color="auto"/>
        <w:left w:val="none" w:sz="0" w:space="0" w:color="auto"/>
        <w:bottom w:val="none" w:sz="0" w:space="0" w:color="auto"/>
        <w:right w:val="none" w:sz="0" w:space="0" w:color="auto"/>
      </w:divBdr>
    </w:div>
    <w:div w:id="367531737">
      <w:bodyDiv w:val="1"/>
      <w:marLeft w:val="0"/>
      <w:marRight w:val="0"/>
      <w:marTop w:val="0"/>
      <w:marBottom w:val="0"/>
      <w:divBdr>
        <w:top w:val="none" w:sz="0" w:space="0" w:color="auto"/>
        <w:left w:val="none" w:sz="0" w:space="0" w:color="auto"/>
        <w:bottom w:val="none" w:sz="0" w:space="0" w:color="auto"/>
        <w:right w:val="none" w:sz="0" w:space="0" w:color="auto"/>
      </w:divBdr>
    </w:div>
    <w:div w:id="419369436">
      <w:bodyDiv w:val="1"/>
      <w:marLeft w:val="0"/>
      <w:marRight w:val="0"/>
      <w:marTop w:val="0"/>
      <w:marBottom w:val="0"/>
      <w:divBdr>
        <w:top w:val="none" w:sz="0" w:space="0" w:color="auto"/>
        <w:left w:val="none" w:sz="0" w:space="0" w:color="auto"/>
        <w:bottom w:val="none" w:sz="0" w:space="0" w:color="auto"/>
        <w:right w:val="none" w:sz="0" w:space="0" w:color="auto"/>
      </w:divBdr>
    </w:div>
    <w:div w:id="444736537">
      <w:bodyDiv w:val="1"/>
      <w:marLeft w:val="0"/>
      <w:marRight w:val="0"/>
      <w:marTop w:val="0"/>
      <w:marBottom w:val="0"/>
      <w:divBdr>
        <w:top w:val="none" w:sz="0" w:space="0" w:color="auto"/>
        <w:left w:val="none" w:sz="0" w:space="0" w:color="auto"/>
        <w:bottom w:val="none" w:sz="0" w:space="0" w:color="auto"/>
        <w:right w:val="none" w:sz="0" w:space="0" w:color="auto"/>
      </w:divBdr>
    </w:div>
    <w:div w:id="480660638">
      <w:bodyDiv w:val="1"/>
      <w:marLeft w:val="0"/>
      <w:marRight w:val="0"/>
      <w:marTop w:val="0"/>
      <w:marBottom w:val="0"/>
      <w:divBdr>
        <w:top w:val="none" w:sz="0" w:space="0" w:color="auto"/>
        <w:left w:val="none" w:sz="0" w:space="0" w:color="auto"/>
        <w:bottom w:val="none" w:sz="0" w:space="0" w:color="auto"/>
        <w:right w:val="none" w:sz="0" w:space="0" w:color="auto"/>
      </w:divBdr>
    </w:div>
    <w:div w:id="598412349">
      <w:bodyDiv w:val="1"/>
      <w:marLeft w:val="0"/>
      <w:marRight w:val="0"/>
      <w:marTop w:val="0"/>
      <w:marBottom w:val="0"/>
      <w:divBdr>
        <w:top w:val="none" w:sz="0" w:space="0" w:color="auto"/>
        <w:left w:val="none" w:sz="0" w:space="0" w:color="auto"/>
        <w:bottom w:val="none" w:sz="0" w:space="0" w:color="auto"/>
        <w:right w:val="none" w:sz="0" w:space="0" w:color="auto"/>
      </w:divBdr>
    </w:div>
    <w:div w:id="644508608">
      <w:bodyDiv w:val="1"/>
      <w:marLeft w:val="0"/>
      <w:marRight w:val="0"/>
      <w:marTop w:val="0"/>
      <w:marBottom w:val="0"/>
      <w:divBdr>
        <w:top w:val="none" w:sz="0" w:space="0" w:color="auto"/>
        <w:left w:val="none" w:sz="0" w:space="0" w:color="auto"/>
        <w:bottom w:val="none" w:sz="0" w:space="0" w:color="auto"/>
        <w:right w:val="none" w:sz="0" w:space="0" w:color="auto"/>
      </w:divBdr>
    </w:div>
    <w:div w:id="681057342">
      <w:bodyDiv w:val="1"/>
      <w:marLeft w:val="0"/>
      <w:marRight w:val="0"/>
      <w:marTop w:val="0"/>
      <w:marBottom w:val="0"/>
      <w:divBdr>
        <w:top w:val="none" w:sz="0" w:space="0" w:color="auto"/>
        <w:left w:val="none" w:sz="0" w:space="0" w:color="auto"/>
        <w:bottom w:val="none" w:sz="0" w:space="0" w:color="auto"/>
        <w:right w:val="none" w:sz="0" w:space="0" w:color="auto"/>
      </w:divBdr>
    </w:div>
    <w:div w:id="730538803">
      <w:bodyDiv w:val="1"/>
      <w:marLeft w:val="0"/>
      <w:marRight w:val="0"/>
      <w:marTop w:val="0"/>
      <w:marBottom w:val="0"/>
      <w:divBdr>
        <w:top w:val="none" w:sz="0" w:space="0" w:color="auto"/>
        <w:left w:val="none" w:sz="0" w:space="0" w:color="auto"/>
        <w:bottom w:val="none" w:sz="0" w:space="0" w:color="auto"/>
        <w:right w:val="none" w:sz="0" w:space="0" w:color="auto"/>
      </w:divBdr>
    </w:div>
    <w:div w:id="808135534">
      <w:bodyDiv w:val="1"/>
      <w:marLeft w:val="0"/>
      <w:marRight w:val="0"/>
      <w:marTop w:val="0"/>
      <w:marBottom w:val="0"/>
      <w:divBdr>
        <w:top w:val="none" w:sz="0" w:space="0" w:color="auto"/>
        <w:left w:val="none" w:sz="0" w:space="0" w:color="auto"/>
        <w:bottom w:val="none" w:sz="0" w:space="0" w:color="auto"/>
        <w:right w:val="none" w:sz="0" w:space="0" w:color="auto"/>
      </w:divBdr>
    </w:div>
    <w:div w:id="854345477">
      <w:bodyDiv w:val="1"/>
      <w:marLeft w:val="0"/>
      <w:marRight w:val="0"/>
      <w:marTop w:val="0"/>
      <w:marBottom w:val="0"/>
      <w:divBdr>
        <w:top w:val="none" w:sz="0" w:space="0" w:color="auto"/>
        <w:left w:val="none" w:sz="0" w:space="0" w:color="auto"/>
        <w:bottom w:val="none" w:sz="0" w:space="0" w:color="auto"/>
        <w:right w:val="none" w:sz="0" w:space="0" w:color="auto"/>
      </w:divBdr>
    </w:div>
    <w:div w:id="896664834">
      <w:bodyDiv w:val="1"/>
      <w:marLeft w:val="0"/>
      <w:marRight w:val="0"/>
      <w:marTop w:val="0"/>
      <w:marBottom w:val="0"/>
      <w:divBdr>
        <w:top w:val="none" w:sz="0" w:space="0" w:color="auto"/>
        <w:left w:val="none" w:sz="0" w:space="0" w:color="auto"/>
        <w:bottom w:val="none" w:sz="0" w:space="0" w:color="auto"/>
        <w:right w:val="none" w:sz="0" w:space="0" w:color="auto"/>
      </w:divBdr>
    </w:div>
    <w:div w:id="928347168">
      <w:bodyDiv w:val="1"/>
      <w:marLeft w:val="0"/>
      <w:marRight w:val="0"/>
      <w:marTop w:val="0"/>
      <w:marBottom w:val="0"/>
      <w:divBdr>
        <w:top w:val="none" w:sz="0" w:space="0" w:color="auto"/>
        <w:left w:val="none" w:sz="0" w:space="0" w:color="auto"/>
        <w:bottom w:val="none" w:sz="0" w:space="0" w:color="auto"/>
        <w:right w:val="none" w:sz="0" w:space="0" w:color="auto"/>
      </w:divBdr>
    </w:div>
    <w:div w:id="945187672">
      <w:bodyDiv w:val="1"/>
      <w:marLeft w:val="0"/>
      <w:marRight w:val="0"/>
      <w:marTop w:val="0"/>
      <w:marBottom w:val="0"/>
      <w:divBdr>
        <w:top w:val="none" w:sz="0" w:space="0" w:color="auto"/>
        <w:left w:val="none" w:sz="0" w:space="0" w:color="auto"/>
        <w:bottom w:val="none" w:sz="0" w:space="0" w:color="auto"/>
        <w:right w:val="none" w:sz="0" w:space="0" w:color="auto"/>
      </w:divBdr>
    </w:div>
    <w:div w:id="1196967731">
      <w:bodyDiv w:val="1"/>
      <w:marLeft w:val="0"/>
      <w:marRight w:val="0"/>
      <w:marTop w:val="0"/>
      <w:marBottom w:val="0"/>
      <w:divBdr>
        <w:top w:val="none" w:sz="0" w:space="0" w:color="auto"/>
        <w:left w:val="none" w:sz="0" w:space="0" w:color="auto"/>
        <w:bottom w:val="none" w:sz="0" w:space="0" w:color="auto"/>
        <w:right w:val="none" w:sz="0" w:space="0" w:color="auto"/>
      </w:divBdr>
    </w:div>
    <w:div w:id="1231695580">
      <w:bodyDiv w:val="1"/>
      <w:marLeft w:val="0"/>
      <w:marRight w:val="0"/>
      <w:marTop w:val="0"/>
      <w:marBottom w:val="0"/>
      <w:divBdr>
        <w:top w:val="none" w:sz="0" w:space="0" w:color="auto"/>
        <w:left w:val="none" w:sz="0" w:space="0" w:color="auto"/>
        <w:bottom w:val="none" w:sz="0" w:space="0" w:color="auto"/>
        <w:right w:val="none" w:sz="0" w:space="0" w:color="auto"/>
      </w:divBdr>
    </w:div>
    <w:div w:id="1276671416">
      <w:bodyDiv w:val="1"/>
      <w:marLeft w:val="0"/>
      <w:marRight w:val="0"/>
      <w:marTop w:val="0"/>
      <w:marBottom w:val="0"/>
      <w:divBdr>
        <w:top w:val="none" w:sz="0" w:space="0" w:color="auto"/>
        <w:left w:val="none" w:sz="0" w:space="0" w:color="auto"/>
        <w:bottom w:val="none" w:sz="0" w:space="0" w:color="auto"/>
        <w:right w:val="none" w:sz="0" w:space="0" w:color="auto"/>
      </w:divBdr>
    </w:div>
    <w:div w:id="1352029698">
      <w:bodyDiv w:val="1"/>
      <w:marLeft w:val="0"/>
      <w:marRight w:val="0"/>
      <w:marTop w:val="0"/>
      <w:marBottom w:val="0"/>
      <w:divBdr>
        <w:top w:val="none" w:sz="0" w:space="0" w:color="auto"/>
        <w:left w:val="none" w:sz="0" w:space="0" w:color="auto"/>
        <w:bottom w:val="none" w:sz="0" w:space="0" w:color="auto"/>
        <w:right w:val="none" w:sz="0" w:space="0" w:color="auto"/>
      </w:divBdr>
    </w:div>
    <w:div w:id="1413232290">
      <w:bodyDiv w:val="1"/>
      <w:marLeft w:val="0"/>
      <w:marRight w:val="0"/>
      <w:marTop w:val="0"/>
      <w:marBottom w:val="0"/>
      <w:divBdr>
        <w:top w:val="none" w:sz="0" w:space="0" w:color="auto"/>
        <w:left w:val="none" w:sz="0" w:space="0" w:color="auto"/>
        <w:bottom w:val="none" w:sz="0" w:space="0" w:color="auto"/>
        <w:right w:val="none" w:sz="0" w:space="0" w:color="auto"/>
      </w:divBdr>
    </w:div>
    <w:div w:id="1414011989">
      <w:bodyDiv w:val="1"/>
      <w:marLeft w:val="0"/>
      <w:marRight w:val="0"/>
      <w:marTop w:val="0"/>
      <w:marBottom w:val="0"/>
      <w:divBdr>
        <w:top w:val="none" w:sz="0" w:space="0" w:color="auto"/>
        <w:left w:val="none" w:sz="0" w:space="0" w:color="auto"/>
        <w:bottom w:val="none" w:sz="0" w:space="0" w:color="auto"/>
        <w:right w:val="none" w:sz="0" w:space="0" w:color="auto"/>
      </w:divBdr>
    </w:div>
    <w:div w:id="1573614209">
      <w:bodyDiv w:val="1"/>
      <w:marLeft w:val="0"/>
      <w:marRight w:val="0"/>
      <w:marTop w:val="0"/>
      <w:marBottom w:val="0"/>
      <w:divBdr>
        <w:top w:val="none" w:sz="0" w:space="0" w:color="auto"/>
        <w:left w:val="none" w:sz="0" w:space="0" w:color="auto"/>
        <w:bottom w:val="none" w:sz="0" w:space="0" w:color="auto"/>
        <w:right w:val="none" w:sz="0" w:space="0" w:color="auto"/>
      </w:divBdr>
      <w:divsChild>
        <w:div w:id="1894467992">
          <w:marLeft w:val="0"/>
          <w:marRight w:val="0"/>
          <w:marTop w:val="0"/>
          <w:marBottom w:val="0"/>
          <w:divBdr>
            <w:top w:val="none" w:sz="0" w:space="0" w:color="auto"/>
            <w:left w:val="none" w:sz="0" w:space="0" w:color="auto"/>
            <w:bottom w:val="none" w:sz="0" w:space="0" w:color="auto"/>
            <w:right w:val="none" w:sz="0" w:space="0" w:color="auto"/>
          </w:divBdr>
          <w:divsChild>
            <w:div w:id="5466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24757">
      <w:bodyDiv w:val="1"/>
      <w:marLeft w:val="0"/>
      <w:marRight w:val="0"/>
      <w:marTop w:val="0"/>
      <w:marBottom w:val="0"/>
      <w:divBdr>
        <w:top w:val="none" w:sz="0" w:space="0" w:color="auto"/>
        <w:left w:val="none" w:sz="0" w:space="0" w:color="auto"/>
        <w:bottom w:val="none" w:sz="0" w:space="0" w:color="auto"/>
        <w:right w:val="none" w:sz="0" w:space="0" w:color="auto"/>
      </w:divBdr>
    </w:div>
    <w:div w:id="1588230839">
      <w:bodyDiv w:val="1"/>
      <w:marLeft w:val="0"/>
      <w:marRight w:val="0"/>
      <w:marTop w:val="0"/>
      <w:marBottom w:val="0"/>
      <w:divBdr>
        <w:top w:val="none" w:sz="0" w:space="0" w:color="auto"/>
        <w:left w:val="none" w:sz="0" w:space="0" w:color="auto"/>
        <w:bottom w:val="none" w:sz="0" w:space="0" w:color="auto"/>
        <w:right w:val="none" w:sz="0" w:space="0" w:color="auto"/>
      </w:divBdr>
    </w:div>
    <w:div w:id="1675717492">
      <w:bodyDiv w:val="1"/>
      <w:marLeft w:val="0"/>
      <w:marRight w:val="0"/>
      <w:marTop w:val="0"/>
      <w:marBottom w:val="0"/>
      <w:divBdr>
        <w:top w:val="none" w:sz="0" w:space="0" w:color="auto"/>
        <w:left w:val="none" w:sz="0" w:space="0" w:color="auto"/>
        <w:bottom w:val="none" w:sz="0" w:space="0" w:color="auto"/>
        <w:right w:val="none" w:sz="0" w:space="0" w:color="auto"/>
      </w:divBdr>
      <w:divsChild>
        <w:div w:id="717246205">
          <w:marLeft w:val="0"/>
          <w:marRight w:val="0"/>
          <w:marTop w:val="0"/>
          <w:marBottom w:val="0"/>
          <w:divBdr>
            <w:top w:val="none" w:sz="0" w:space="0" w:color="auto"/>
            <w:left w:val="none" w:sz="0" w:space="0" w:color="auto"/>
            <w:bottom w:val="none" w:sz="0" w:space="0" w:color="auto"/>
            <w:right w:val="none" w:sz="0" w:space="0" w:color="auto"/>
          </w:divBdr>
          <w:divsChild>
            <w:div w:id="50548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22343">
      <w:bodyDiv w:val="1"/>
      <w:marLeft w:val="0"/>
      <w:marRight w:val="0"/>
      <w:marTop w:val="0"/>
      <w:marBottom w:val="0"/>
      <w:divBdr>
        <w:top w:val="none" w:sz="0" w:space="0" w:color="auto"/>
        <w:left w:val="none" w:sz="0" w:space="0" w:color="auto"/>
        <w:bottom w:val="none" w:sz="0" w:space="0" w:color="auto"/>
        <w:right w:val="none" w:sz="0" w:space="0" w:color="auto"/>
      </w:divBdr>
    </w:div>
    <w:div w:id="1817182986">
      <w:bodyDiv w:val="1"/>
      <w:marLeft w:val="0"/>
      <w:marRight w:val="0"/>
      <w:marTop w:val="0"/>
      <w:marBottom w:val="0"/>
      <w:divBdr>
        <w:top w:val="none" w:sz="0" w:space="0" w:color="auto"/>
        <w:left w:val="none" w:sz="0" w:space="0" w:color="auto"/>
        <w:bottom w:val="none" w:sz="0" w:space="0" w:color="auto"/>
        <w:right w:val="none" w:sz="0" w:space="0" w:color="auto"/>
      </w:divBdr>
    </w:div>
    <w:div w:id="1827355489">
      <w:bodyDiv w:val="1"/>
      <w:marLeft w:val="0"/>
      <w:marRight w:val="0"/>
      <w:marTop w:val="0"/>
      <w:marBottom w:val="0"/>
      <w:divBdr>
        <w:top w:val="none" w:sz="0" w:space="0" w:color="auto"/>
        <w:left w:val="none" w:sz="0" w:space="0" w:color="auto"/>
        <w:bottom w:val="none" w:sz="0" w:space="0" w:color="auto"/>
        <w:right w:val="none" w:sz="0" w:space="0" w:color="auto"/>
      </w:divBdr>
    </w:div>
    <w:div w:id="2044209404">
      <w:bodyDiv w:val="1"/>
      <w:marLeft w:val="0"/>
      <w:marRight w:val="0"/>
      <w:marTop w:val="0"/>
      <w:marBottom w:val="0"/>
      <w:divBdr>
        <w:top w:val="none" w:sz="0" w:space="0" w:color="auto"/>
        <w:left w:val="none" w:sz="0" w:space="0" w:color="auto"/>
        <w:bottom w:val="none" w:sz="0" w:space="0" w:color="auto"/>
        <w:right w:val="none" w:sz="0" w:space="0" w:color="auto"/>
      </w:divBdr>
    </w:div>
    <w:div w:id="2070690007">
      <w:bodyDiv w:val="1"/>
      <w:marLeft w:val="0"/>
      <w:marRight w:val="0"/>
      <w:marTop w:val="0"/>
      <w:marBottom w:val="0"/>
      <w:divBdr>
        <w:top w:val="none" w:sz="0" w:space="0" w:color="auto"/>
        <w:left w:val="none" w:sz="0" w:space="0" w:color="auto"/>
        <w:bottom w:val="none" w:sz="0" w:space="0" w:color="auto"/>
        <w:right w:val="none" w:sz="0" w:space="0" w:color="auto"/>
      </w:divBdr>
    </w:div>
    <w:div w:id="2078935780">
      <w:bodyDiv w:val="1"/>
      <w:marLeft w:val="0"/>
      <w:marRight w:val="0"/>
      <w:marTop w:val="0"/>
      <w:marBottom w:val="0"/>
      <w:divBdr>
        <w:top w:val="none" w:sz="0" w:space="0" w:color="auto"/>
        <w:left w:val="none" w:sz="0" w:space="0" w:color="auto"/>
        <w:bottom w:val="none" w:sz="0" w:space="0" w:color="auto"/>
        <w:right w:val="none" w:sz="0" w:space="0" w:color="auto"/>
      </w:divBdr>
    </w:div>
    <w:div w:id="2088569689">
      <w:bodyDiv w:val="1"/>
      <w:marLeft w:val="0"/>
      <w:marRight w:val="0"/>
      <w:marTop w:val="0"/>
      <w:marBottom w:val="0"/>
      <w:divBdr>
        <w:top w:val="none" w:sz="0" w:space="0" w:color="auto"/>
        <w:left w:val="none" w:sz="0" w:space="0" w:color="auto"/>
        <w:bottom w:val="none" w:sz="0" w:space="0" w:color="auto"/>
        <w:right w:val="none" w:sz="0" w:space="0" w:color="auto"/>
      </w:divBdr>
    </w:div>
    <w:div w:id="212719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C25A5-855A-4B51-ABA2-557201196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561</Words>
  <Characters>3203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Viani Silvia</dc:creator>
  <cp:keywords/>
  <dc:description/>
  <cp:lastModifiedBy>Antonella Aurelio</cp:lastModifiedBy>
  <cp:revision>2</cp:revision>
  <cp:lastPrinted>2024-07-26T15:00:00Z</cp:lastPrinted>
  <dcterms:created xsi:type="dcterms:W3CDTF">2026-01-13T12:39:00Z</dcterms:created>
  <dcterms:modified xsi:type="dcterms:W3CDTF">2026-01-13T12:39:00Z</dcterms:modified>
</cp:coreProperties>
</file>